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0F" w:rsidRPr="008169F2" w:rsidRDefault="007F55C6" w:rsidP="008169F2">
      <w:pPr>
        <w:spacing w:after="240" w:line="580" w:lineRule="exact"/>
        <w:ind w:right="119"/>
        <w:jc w:val="center"/>
        <w:rPr>
          <w:rFonts w:ascii="仿宋" w:eastAsia="仿宋" w:hAnsi="仿宋"/>
          <w:b/>
          <w:sz w:val="28"/>
          <w:szCs w:val="36"/>
        </w:rPr>
      </w:pPr>
      <w:r w:rsidRPr="008169F2">
        <w:rPr>
          <w:rFonts w:ascii="仿宋" w:eastAsia="仿宋" w:hAnsi="仿宋" w:hint="eastAsia"/>
          <w:b/>
          <w:sz w:val="28"/>
          <w:szCs w:val="36"/>
        </w:rPr>
        <w:t>吡哌酸</w:t>
      </w:r>
      <w:r w:rsidR="005F4B8B" w:rsidRPr="008169F2">
        <w:rPr>
          <w:rFonts w:ascii="仿宋" w:eastAsia="仿宋" w:hAnsi="仿宋" w:hint="eastAsia"/>
          <w:b/>
          <w:sz w:val="28"/>
          <w:szCs w:val="36"/>
        </w:rPr>
        <w:t>胶囊</w:t>
      </w:r>
      <w:r w:rsidR="002133DB" w:rsidRPr="008169F2">
        <w:rPr>
          <w:rFonts w:ascii="仿宋" w:eastAsia="仿宋" w:hAnsi="仿宋" w:hint="eastAsia"/>
          <w:b/>
          <w:sz w:val="28"/>
          <w:szCs w:val="36"/>
        </w:rPr>
        <w:t>说明书修订</w:t>
      </w:r>
      <w:r w:rsidRPr="008169F2">
        <w:rPr>
          <w:rFonts w:ascii="仿宋" w:eastAsia="仿宋" w:hAnsi="仿宋" w:hint="eastAsia"/>
          <w:b/>
          <w:sz w:val="28"/>
          <w:szCs w:val="36"/>
        </w:rPr>
        <w:t>详情</w:t>
      </w:r>
    </w:p>
    <w:tbl>
      <w:tblPr>
        <w:tblW w:w="92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1"/>
        <w:gridCol w:w="2434"/>
        <w:gridCol w:w="5186"/>
      </w:tblGrid>
      <w:tr w:rsidR="007F55C6" w:rsidRPr="008169F2" w:rsidTr="0078410F">
        <w:trPr>
          <w:trHeight w:val="495"/>
          <w:jc w:val="center"/>
        </w:trPr>
        <w:tc>
          <w:tcPr>
            <w:tcW w:w="1631" w:type="dxa"/>
            <w:vAlign w:val="center"/>
          </w:tcPr>
          <w:p w:rsidR="007F55C6" w:rsidRPr="008169F2" w:rsidRDefault="007F55C6" w:rsidP="00E9500E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169F2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2434" w:type="dxa"/>
            <w:vAlign w:val="center"/>
          </w:tcPr>
          <w:p w:rsidR="007F55C6" w:rsidRPr="008169F2" w:rsidRDefault="007F55C6" w:rsidP="00E9500E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169F2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5186" w:type="dxa"/>
            <w:vAlign w:val="center"/>
          </w:tcPr>
          <w:p w:rsidR="007F55C6" w:rsidRPr="008169F2" w:rsidRDefault="007F55C6" w:rsidP="00E9500E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169F2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7F55C6" w:rsidRPr="008169F2" w:rsidTr="0078410F">
        <w:trPr>
          <w:jc w:val="center"/>
        </w:trPr>
        <w:tc>
          <w:tcPr>
            <w:tcW w:w="1631" w:type="dxa"/>
            <w:vAlign w:val="center"/>
          </w:tcPr>
          <w:p w:rsidR="007F55C6" w:rsidRPr="008169F2" w:rsidRDefault="007F55C6" w:rsidP="00E9500E">
            <w:pPr>
              <w:jc w:val="center"/>
              <w:rPr>
                <w:rFonts w:ascii="仿宋" w:eastAsia="仿宋" w:hAnsi="仿宋"/>
              </w:rPr>
            </w:pPr>
            <w:r w:rsidRPr="008169F2">
              <w:rPr>
                <w:rFonts w:ascii="仿宋" w:eastAsia="仿宋" w:hAnsi="仿宋" w:hint="eastAsia"/>
              </w:rPr>
              <w:t>【警示语】</w:t>
            </w:r>
          </w:p>
        </w:tc>
        <w:tc>
          <w:tcPr>
            <w:tcW w:w="2434" w:type="dxa"/>
            <w:vAlign w:val="center"/>
          </w:tcPr>
          <w:p w:rsidR="007F55C6" w:rsidRPr="008169F2" w:rsidRDefault="007F55C6" w:rsidP="00E9500E">
            <w:pPr>
              <w:jc w:val="center"/>
              <w:rPr>
                <w:rFonts w:ascii="仿宋" w:eastAsia="仿宋" w:hAnsi="仿宋"/>
              </w:rPr>
            </w:pPr>
            <w:r w:rsidRPr="008169F2"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5186" w:type="dxa"/>
            <w:vAlign w:val="center"/>
          </w:tcPr>
          <w:p w:rsidR="007F55C6" w:rsidRPr="008169F2" w:rsidRDefault="007F55C6" w:rsidP="00E9500E">
            <w:pPr>
              <w:spacing w:line="240" w:lineRule="atLeast"/>
              <w:ind w:firstLineChars="100" w:firstLine="210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 w:hint="eastAsia"/>
              </w:rPr>
              <w:t>本</w:t>
            </w:r>
            <w:bookmarkStart w:id="0" w:name="_GoBack"/>
            <w:r w:rsidRPr="008169F2">
              <w:rPr>
                <w:rFonts w:ascii="仿宋" w:eastAsia="仿宋" w:hAnsi="仿宋" w:cs="Times New Roman" w:hint="eastAsia"/>
              </w:rPr>
              <w:t>品有发生严重过敏反应的风险，包括过敏性休克和严重皮肤过敏反应，一旦出现皮疹、瘙痒、寒战、呼吸困难、血压下降等症状，应立即停药并采取适当的处置措施；严重皮肤反应包括多形性渗出性红斑、史蒂文-约翰逊（Stevens-Johnson）</w:t>
            </w:r>
            <w:bookmarkEnd w:id="0"/>
            <w:r w:rsidRPr="008169F2">
              <w:rPr>
                <w:rFonts w:ascii="仿宋" w:eastAsia="仿宋" w:hAnsi="仿宋" w:cs="Times New Roman" w:hint="eastAsia"/>
              </w:rPr>
              <w:t>综合征、中毒性表皮坏死松解症（Lyell综合征）。</w:t>
            </w:r>
          </w:p>
        </w:tc>
      </w:tr>
      <w:tr w:rsidR="007F55C6" w:rsidRPr="008169F2" w:rsidTr="0078410F">
        <w:trPr>
          <w:jc w:val="center"/>
        </w:trPr>
        <w:tc>
          <w:tcPr>
            <w:tcW w:w="1631" w:type="dxa"/>
            <w:vAlign w:val="center"/>
          </w:tcPr>
          <w:p w:rsidR="007F55C6" w:rsidRPr="008169F2" w:rsidRDefault="007F55C6" w:rsidP="00E9500E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169F2">
              <w:rPr>
                <w:rFonts w:ascii="仿宋" w:eastAsia="仿宋" w:hAnsi="仿宋" w:hint="eastAsia"/>
              </w:rPr>
              <w:t>【不良反应】</w:t>
            </w:r>
          </w:p>
        </w:tc>
        <w:tc>
          <w:tcPr>
            <w:tcW w:w="2434" w:type="dxa"/>
            <w:vAlign w:val="center"/>
          </w:tcPr>
          <w:p w:rsidR="0002374E" w:rsidRPr="008169F2" w:rsidRDefault="0002374E" w:rsidP="0002374E">
            <w:pPr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 w:hint="eastAsia"/>
              </w:rPr>
              <w:t>本品毒性较低，不良反应主要为恶心、嗳气、上腹不适、食欲减退、稀便或便秘等胃肠道反应，皮疹或全身瘙痒少见；偶见眩晕、头痛、血清氨基转移酶一过性升高等。上述不良反应均属轻微，停药后可自行恢复。</w:t>
            </w:r>
          </w:p>
          <w:p w:rsidR="007F55C6" w:rsidRPr="008169F2" w:rsidRDefault="007F55C6" w:rsidP="0002374E">
            <w:pPr>
              <w:ind w:firstLineChars="200" w:firstLine="420"/>
              <w:jc w:val="left"/>
              <w:rPr>
                <w:rFonts w:ascii="仿宋" w:eastAsia="仿宋" w:hAnsi="仿宋"/>
              </w:rPr>
            </w:pPr>
          </w:p>
        </w:tc>
        <w:tc>
          <w:tcPr>
            <w:tcW w:w="5186" w:type="dxa"/>
            <w:vAlign w:val="center"/>
          </w:tcPr>
          <w:p w:rsidR="007F55C6" w:rsidRPr="008169F2" w:rsidRDefault="007F55C6" w:rsidP="0002374E">
            <w:pPr>
              <w:spacing w:line="240" w:lineRule="atLeast"/>
              <w:ind w:firstLineChars="200" w:firstLine="420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/>
              </w:rPr>
              <w:t>胃肠损害：恶心、呕吐、嗳气、胃部不适、消化不良、胃痛、腹痛、腹胀、便秘、腹泻、口干、口腔炎。</w:t>
            </w:r>
          </w:p>
          <w:p w:rsidR="007F55C6" w:rsidRPr="008169F2" w:rsidRDefault="007F55C6" w:rsidP="0002374E">
            <w:pPr>
              <w:spacing w:line="240" w:lineRule="atLeast"/>
              <w:ind w:firstLineChars="100" w:firstLine="210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/>
              </w:rPr>
              <w:t>皮肤及其附件：皮疹、瘙痒、荨麻疹、斑丘疹、红斑疹、水疱疹、多形性渗出性红斑、史蒂文-约翰逊（Stevens-Johnson）综合征、中毒性表皮坏死松解症。</w:t>
            </w:r>
          </w:p>
          <w:p w:rsidR="007F55C6" w:rsidRPr="008169F2" w:rsidRDefault="007F55C6" w:rsidP="0002374E">
            <w:pPr>
              <w:spacing w:line="240" w:lineRule="atLeast"/>
              <w:ind w:firstLineChars="200" w:firstLine="420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/>
              </w:rPr>
              <w:t>精神和神经系统：头痛、头晕、眩晕、感觉减退、厌食、食欲减退、嗜睡、失眠、癫痫样发作、痉挛。</w:t>
            </w:r>
          </w:p>
          <w:p w:rsidR="007F55C6" w:rsidRPr="008169F2" w:rsidRDefault="007F55C6" w:rsidP="0002374E">
            <w:pPr>
              <w:spacing w:line="240" w:lineRule="atLeast"/>
              <w:ind w:firstLineChars="200" w:firstLine="420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/>
              </w:rPr>
              <w:t>全身性损害：寒战、发热、过敏反应、过敏性休克、面部水肿、乏力、胸痛、血管神经性水肿。</w:t>
            </w:r>
          </w:p>
          <w:p w:rsidR="007F55C6" w:rsidRPr="008169F2" w:rsidRDefault="007F55C6" w:rsidP="0002374E">
            <w:pPr>
              <w:spacing w:line="240" w:lineRule="atLeast"/>
              <w:ind w:firstLineChars="200" w:firstLine="420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/>
              </w:rPr>
              <w:t>呼吸系统：呼吸困难、喉头水肿</w:t>
            </w:r>
          </w:p>
          <w:p w:rsidR="007F55C6" w:rsidRPr="008169F2" w:rsidRDefault="007F55C6" w:rsidP="0002374E">
            <w:pPr>
              <w:spacing w:line="240" w:lineRule="atLeast"/>
              <w:ind w:firstLineChars="200" w:firstLine="420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/>
              </w:rPr>
              <w:t>心血管系统：心悸、紫绀、潮红、血压下降、过敏性紫癜</w:t>
            </w:r>
          </w:p>
          <w:p w:rsidR="007F55C6" w:rsidRPr="008169F2" w:rsidRDefault="007F55C6" w:rsidP="0002374E">
            <w:pPr>
              <w:spacing w:line="240" w:lineRule="atLeast"/>
              <w:ind w:firstLineChars="200" w:firstLine="420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/>
              </w:rPr>
              <w:t>泌尿系统：血尿、尿频、BUN、肌酐升高</w:t>
            </w:r>
          </w:p>
          <w:p w:rsidR="007F55C6" w:rsidRPr="008169F2" w:rsidRDefault="007F55C6" w:rsidP="0002374E">
            <w:pPr>
              <w:spacing w:line="240" w:lineRule="atLeast"/>
              <w:ind w:firstLineChars="200" w:firstLine="420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/>
              </w:rPr>
              <w:t>肝胆损害：肝功能异常、AST (GOT) 、ALT（GPT）升高、Al-P升高</w:t>
            </w:r>
          </w:p>
          <w:p w:rsidR="007F55C6" w:rsidRPr="008169F2" w:rsidRDefault="007F55C6" w:rsidP="0002374E">
            <w:pPr>
              <w:spacing w:line="240" w:lineRule="atLeast"/>
              <w:ind w:firstLineChars="200" w:firstLine="420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/>
              </w:rPr>
              <w:t>血液系统：白细胞减少、血小板减少、粒细胞减少</w:t>
            </w:r>
          </w:p>
          <w:p w:rsidR="007F55C6" w:rsidRPr="008169F2" w:rsidRDefault="007F55C6" w:rsidP="0002374E">
            <w:pPr>
              <w:spacing w:line="360" w:lineRule="auto"/>
              <w:ind w:firstLineChars="200" w:firstLine="420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/>
              </w:rPr>
              <w:t>骨骼和肌肉系统：关节痛、肌腱炎</w:t>
            </w:r>
          </w:p>
        </w:tc>
      </w:tr>
      <w:tr w:rsidR="007F55C6" w:rsidRPr="008169F2" w:rsidTr="0078410F">
        <w:trPr>
          <w:trHeight w:val="1009"/>
          <w:jc w:val="center"/>
        </w:trPr>
        <w:tc>
          <w:tcPr>
            <w:tcW w:w="1631" w:type="dxa"/>
            <w:vAlign w:val="center"/>
          </w:tcPr>
          <w:p w:rsidR="007F55C6" w:rsidRPr="008169F2" w:rsidRDefault="007F55C6" w:rsidP="00E9500E">
            <w:pPr>
              <w:jc w:val="center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 w:hint="eastAsia"/>
              </w:rPr>
              <w:t>【禁忌】</w:t>
            </w:r>
          </w:p>
        </w:tc>
        <w:tc>
          <w:tcPr>
            <w:tcW w:w="2434" w:type="dxa"/>
            <w:vAlign w:val="center"/>
          </w:tcPr>
          <w:p w:rsidR="007F55C6" w:rsidRPr="008169F2" w:rsidRDefault="0002374E" w:rsidP="00E9500E">
            <w:pPr>
              <w:snapToGrid w:val="0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 w:hint="eastAsia"/>
              </w:rPr>
              <w:t>尚不明确</w:t>
            </w:r>
          </w:p>
        </w:tc>
        <w:tc>
          <w:tcPr>
            <w:tcW w:w="5186" w:type="dxa"/>
            <w:vAlign w:val="center"/>
          </w:tcPr>
          <w:p w:rsidR="007F55C6" w:rsidRPr="008169F2" w:rsidRDefault="007F55C6" w:rsidP="0078410F">
            <w:pPr>
              <w:spacing w:line="240" w:lineRule="atLeast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/>
              </w:rPr>
              <w:t>1.妊娠晚期妇女禁用。</w:t>
            </w:r>
          </w:p>
          <w:p w:rsidR="0002374E" w:rsidRPr="008169F2" w:rsidRDefault="007F55C6" w:rsidP="0078410F">
            <w:pPr>
              <w:spacing w:line="240" w:lineRule="atLeast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/>
              </w:rPr>
              <w:t>2.18岁以下青少年儿童禁用。</w:t>
            </w:r>
          </w:p>
        </w:tc>
      </w:tr>
      <w:tr w:rsidR="007F55C6" w:rsidRPr="008169F2" w:rsidTr="0078410F">
        <w:trPr>
          <w:trHeight w:val="1264"/>
          <w:jc w:val="center"/>
        </w:trPr>
        <w:tc>
          <w:tcPr>
            <w:tcW w:w="1631" w:type="dxa"/>
            <w:vAlign w:val="center"/>
          </w:tcPr>
          <w:p w:rsidR="007F55C6" w:rsidRPr="008169F2" w:rsidRDefault="007F55C6" w:rsidP="00E9500E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8169F2">
              <w:rPr>
                <w:rFonts w:ascii="仿宋" w:eastAsia="仿宋" w:hAnsi="仿宋" w:hint="eastAsia"/>
              </w:rPr>
              <w:t>【孕妇及哺乳期妇女用药】</w:t>
            </w:r>
          </w:p>
        </w:tc>
        <w:tc>
          <w:tcPr>
            <w:tcW w:w="2434" w:type="dxa"/>
            <w:vAlign w:val="center"/>
          </w:tcPr>
          <w:p w:rsidR="007F55C6" w:rsidRPr="008169F2" w:rsidRDefault="0002374E" w:rsidP="00E9500E">
            <w:pPr>
              <w:snapToGrid w:val="0"/>
              <w:rPr>
                <w:rFonts w:ascii="仿宋" w:eastAsia="仿宋" w:hAnsi="仿宋"/>
              </w:rPr>
            </w:pPr>
            <w:r w:rsidRPr="008169F2">
              <w:rPr>
                <w:rFonts w:ascii="仿宋" w:eastAsia="仿宋" w:hAnsi="仿宋" w:cs="Times New Roman" w:hint="eastAsia"/>
              </w:rPr>
              <w:t>未进行该项实验且无可靠参考文献。</w:t>
            </w:r>
          </w:p>
        </w:tc>
        <w:tc>
          <w:tcPr>
            <w:tcW w:w="5186" w:type="dxa"/>
            <w:vAlign w:val="center"/>
          </w:tcPr>
          <w:p w:rsidR="007F55C6" w:rsidRPr="008169F2" w:rsidRDefault="0002374E" w:rsidP="00E9500E">
            <w:pPr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/>
              </w:rPr>
              <w:t>动物实验显示本品可抑制幼龄动物软骨发育，孕妇禁用。本品可进入母乳，哺乳期妇女禁用。</w:t>
            </w:r>
          </w:p>
        </w:tc>
      </w:tr>
      <w:tr w:rsidR="007F55C6" w:rsidRPr="008169F2" w:rsidTr="0078410F">
        <w:trPr>
          <w:trHeight w:val="754"/>
          <w:jc w:val="center"/>
        </w:trPr>
        <w:tc>
          <w:tcPr>
            <w:tcW w:w="1631" w:type="dxa"/>
            <w:vAlign w:val="center"/>
          </w:tcPr>
          <w:p w:rsidR="007F55C6" w:rsidRPr="008169F2" w:rsidRDefault="007F55C6" w:rsidP="00E9500E">
            <w:pPr>
              <w:snapToGrid w:val="0"/>
              <w:jc w:val="center"/>
              <w:rPr>
                <w:rFonts w:ascii="仿宋" w:eastAsia="仿宋" w:hAnsi="仿宋"/>
              </w:rPr>
            </w:pPr>
            <w:r w:rsidRPr="008169F2">
              <w:rPr>
                <w:rFonts w:ascii="仿宋" w:eastAsia="仿宋" w:hAnsi="仿宋" w:hint="eastAsia"/>
              </w:rPr>
              <w:t>【儿童用药】</w:t>
            </w:r>
          </w:p>
        </w:tc>
        <w:tc>
          <w:tcPr>
            <w:tcW w:w="2434" w:type="dxa"/>
            <w:vAlign w:val="center"/>
          </w:tcPr>
          <w:p w:rsidR="007F55C6" w:rsidRPr="008169F2" w:rsidRDefault="0002374E" w:rsidP="0002374E">
            <w:pPr>
              <w:snapToGrid w:val="0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 w:hint="eastAsia"/>
              </w:rPr>
              <w:t>未进行该项实验且无可靠参考文献。</w:t>
            </w:r>
          </w:p>
        </w:tc>
        <w:tc>
          <w:tcPr>
            <w:tcW w:w="5186" w:type="dxa"/>
            <w:vAlign w:val="center"/>
          </w:tcPr>
          <w:p w:rsidR="007F55C6" w:rsidRPr="008169F2" w:rsidRDefault="0002374E" w:rsidP="0002374E">
            <w:pPr>
              <w:spacing w:line="360" w:lineRule="auto"/>
              <w:jc w:val="left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/>
              </w:rPr>
              <w:t>本品在婴幼儿及18岁以下青少年的安全性尚未确立。但本品用于数种幼龄动物时，可引起关节病变，18岁以下儿童禁用。</w:t>
            </w:r>
          </w:p>
        </w:tc>
      </w:tr>
      <w:tr w:rsidR="0002374E" w:rsidRPr="008169F2" w:rsidTr="0078410F">
        <w:trPr>
          <w:trHeight w:val="754"/>
          <w:jc w:val="center"/>
        </w:trPr>
        <w:tc>
          <w:tcPr>
            <w:tcW w:w="1631" w:type="dxa"/>
            <w:vAlign w:val="center"/>
          </w:tcPr>
          <w:p w:rsidR="0002374E" w:rsidRPr="008169F2" w:rsidRDefault="0002374E" w:rsidP="00E9500E">
            <w:pPr>
              <w:snapToGrid w:val="0"/>
              <w:jc w:val="center"/>
              <w:rPr>
                <w:rFonts w:ascii="仿宋" w:eastAsia="仿宋" w:hAnsi="仿宋"/>
              </w:rPr>
            </w:pPr>
            <w:r w:rsidRPr="008169F2">
              <w:rPr>
                <w:rFonts w:ascii="仿宋" w:eastAsia="仿宋" w:hAnsi="仿宋" w:hint="eastAsia"/>
              </w:rPr>
              <w:t>【老年用药】</w:t>
            </w:r>
          </w:p>
        </w:tc>
        <w:tc>
          <w:tcPr>
            <w:tcW w:w="2434" w:type="dxa"/>
            <w:vAlign w:val="center"/>
          </w:tcPr>
          <w:p w:rsidR="0002374E" w:rsidRPr="008169F2" w:rsidRDefault="0002374E" w:rsidP="0002374E">
            <w:pPr>
              <w:snapToGrid w:val="0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 w:hint="eastAsia"/>
              </w:rPr>
              <w:t>未进行该项实验且无可靠参考文献。</w:t>
            </w:r>
          </w:p>
        </w:tc>
        <w:tc>
          <w:tcPr>
            <w:tcW w:w="5186" w:type="dxa"/>
            <w:vAlign w:val="center"/>
          </w:tcPr>
          <w:p w:rsidR="0002374E" w:rsidRPr="008169F2" w:rsidRDefault="0002374E" w:rsidP="0002374E">
            <w:pPr>
              <w:spacing w:line="360" w:lineRule="auto"/>
              <w:ind w:right="119"/>
              <w:jc w:val="left"/>
              <w:rPr>
                <w:rFonts w:ascii="仿宋" w:eastAsia="仿宋" w:hAnsi="仿宋" w:cs="Times New Roman"/>
              </w:rPr>
            </w:pPr>
            <w:r w:rsidRPr="008169F2">
              <w:rPr>
                <w:rFonts w:ascii="仿宋" w:eastAsia="仿宋" w:hAnsi="仿宋" w:cs="Times New Roman"/>
              </w:rPr>
              <w:t>因本品主要经肾排出，老年患者常有肾功能减退，需减量应用。</w:t>
            </w:r>
          </w:p>
        </w:tc>
      </w:tr>
    </w:tbl>
    <w:p w:rsidR="0099630F" w:rsidRPr="008169F2" w:rsidRDefault="0099630F">
      <w:pPr>
        <w:widowControl/>
        <w:spacing w:line="280" w:lineRule="exact"/>
        <w:jc w:val="left"/>
        <w:rPr>
          <w:rFonts w:ascii="仿宋" w:eastAsia="仿宋" w:hAnsi="仿宋" w:cs="Times New Roman"/>
          <w:sz w:val="24"/>
          <w:szCs w:val="24"/>
        </w:rPr>
      </w:pPr>
    </w:p>
    <w:sectPr w:rsidR="0099630F" w:rsidRPr="008169F2" w:rsidSect="0099630F">
      <w:footerReference w:type="default" r:id="rId9"/>
      <w:pgSz w:w="11906" w:h="16838"/>
      <w:pgMar w:top="1417" w:right="1134" w:bottom="1134" w:left="1134" w:header="851" w:footer="992" w:gutter="0"/>
      <w:pgNumType w:fmt="decimalFullWidt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4C4" w:rsidRDefault="00F474C4" w:rsidP="0099630F">
      <w:r>
        <w:separator/>
      </w:r>
    </w:p>
  </w:endnote>
  <w:endnote w:type="continuationSeparator" w:id="0">
    <w:p w:rsidR="00F474C4" w:rsidRDefault="00F474C4" w:rsidP="0099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0F" w:rsidRDefault="00F474C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28.8pt;margin-top:0;width:2in;height:2in;z-index:251658240;mso-wrap-style:none;mso-position-horizontal:right;mso-position-horizontal-relative:margin" filled="f" stroked="f">
          <v:textbox style="mso-fit-shape-to-text:t" inset="0,0,0,0">
            <w:txbxContent>
              <w:p w:rsidR="0099630F" w:rsidRDefault="001D036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133D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169F2">
                  <w:rPr>
                    <w:rFonts w:hint="eastAsia"/>
                    <w:noProof/>
                  </w:rPr>
                  <w:t>１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4C4" w:rsidRDefault="00F474C4" w:rsidP="0099630F">
      <w:r>
        <w:separator/>
      </w:r>
    </w:p>
  </w:footnote>
  <w:footnote w:type="continuationSeparator" w:id="0">
    <w:p w:rsidR="00F474C4" w:rsidRDefault="00F474C4" w:rsidP="00996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6A3894"/>
    <w:multiLevelType w:val="singleLevel"/>
    <w:tmpl w:val="B46A38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2011BC"/>
    <w:multiLevelType w:val="singleLevel"/>
    <w:tmpl w:val="F32011B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EBC"/>
    <w:rsid w:val="000057B2"/>
    <w:rsid w:val="00016212"/>
    <w:rsid w:val="0002374E"/>
    <w:rsid w:val="000271F7"/>
    <w:rsid w:val="000444F0"/>
    <w:rsid w:val="00083ACA"/>
    <w:rsid w:val="00093142"/>
    <w:rsid w:val="000C5B16"/>
    <w:rsid w:val="00115E27"/>
    <w:rsid w:val="001376F0"/>
    <w:rsid w:val="001972DC"/>
    <w:rsid w:val="001C1FF8"/>
    <w:rsid w:val="001D036E"/>
    <w:rsid w:val="001D4554"/>
    <w:rsid w:val="002133DB"/>
    <w:rsid w:val="00237E7D"/>
    <w:rsid w:val="002C6546"/>
    <w:rsid w:val="003525AF"/>
    <w:rsid w:val="003A3C15"/>
    <w:rsid w:val="00437A5D"/>
    <w:rsid w:val="00467FD9"/>
    <w:rsid w:val="00496578"/>
    <w:rsid w:val="004C5F9D"/>
    <w:rsid w:val="00502525"/>
    <w:rsid w:val="00561E0C"/>
    <w:rsid w:val="0057431F"/>
    <w:rsid w:val="005D3886"/>
    <w:rsid w:val="005F2FD7"/>
    <w:rsid w:val="005F4B8B"/>
    <w:rsid w:val="0062341A"/>
    <w:rsid w:val="006956B6"/>
    <w:rsid w:val="006A4EBC"/>
    <w:rsid w:val="006A519D"/>
    <w:rsid w:val="006E1B35"/>
    <w:rsid w:val="006F2266"/>
    <w:rsid w:val="007067F5"/>
    <w:rsid w:val="0072441C"/>
    <w:rsid w:val="007333DA"/>
    <w:rsid w:val="0074167F"/>
    <w:rsid w:val="00765C1F"/>
    <w:rsid w:val="0078410F"/>
    <w:rsid w:val="007930FD"/>
    <w:rsid w:val="007A5FA4"/>
    <w:rsid w:val="007D6090"/>
    <w:rsid w:val="007E59FB"/>
    <w:rsid w:val="007F55C6"/>
    <w:rsid w:val="008169F2"/>
    <w:rsid w:val="008F2FFC"/>
    <w:rsid w:val="00913C24"/>
    <w:rsid w:val="00932BAB"/>
    <w:rsid w:val="0093723C"/>
    <w:rsid w:val="009746EA"/>
    <w:rsid w:val="00981190"/>
    <w:rsid w:val="0099630F"/>
    <w:rsid w:val="00996AC6"/>
    <w:rsid w:val="009C2E8C"/>
    <w:rsid w:val="009D4F9F"/>
    <w:rsid w:val="009D509B"/>
    <w:rsid w:val="009D6E74"/>
    <w:rsid w:val="00A0013F"/>
    <w:rsid w:val="00AB1021"/>
    <w:rsid w:val="00AD1D17"/>
    <w:rsid w:val="00B02F15"/>
    <w:rsid w:val="00B130CE"/>
    <w:rsid w:val="00B202B3"/>
    <w:rsid w:val="00B55713"/>
    <w:rsid w:val="00B873BE"/>
    <w:rsid w:val="00BA0B3D"/>
    <w:rsid w:val="00BC17CF"/>
    <w:rsid w:val="00BC417E"/>
    <w:rsid w:val="00C57D0D"/>
    <w:rsid w:val="00C75092"/>
    <w:rsid w:val="00C82CD2"/>
    <w:rsid w:val="00C90504"/>
    <w:rsid w:val="00C90960"/>
    <w:rsid w:val="00C95957"/>
    <w:rsid w:val="00CA799C"/>
    <w:rsid w:val="00D53C19"/>
    <w:rsid w:val="00D6077C"/>
    <w:rsid w:val="00D87865"/>
    <w:rsid w:val="00DA3641"/>
    <w:rsid w:val="00E121B3"/>
    <w:rsid w:val="00E15D28"/>
    <w:rsid w:val="00E51513"/>
    <w:rsid w:val="00E66C3D"/>
    <w:rsid w:val="00E77A1A"/>
    <w:rsid w:val="00ED6582"/>
    <w:rsid w:val="00EE6FC6"/>
    <w:rsid w:val="00EF3402"/>
    <w:rsid w:val="00F27439"/>
    <w:rsid w:val="00F32ABF"/>
    <w:rsid w:val="00F41092"/>
    <w:rsid w:val="00F42392"/>
    <w:rsid w:val="00F428D2"/>
    <w:rsid w:val="00F474C4"/>
    <w:rsid w:val="00F56AFF"/>
    <w:rsid w:val="00F83D10"/>
    <w:rsid w:val="00F83F58"/>
    <w:rsid w:val="00FD373C"/>
    <w:rsid w:val="01535F39"/>
    <w:rsid w:val="0B607FF7"/>
    <w:rsid w:val="196226AB"/>
    <w:rsid w:val="2B564A22"/>
    <w:rsid w:val="377446C9"/>
    <w:rsid w:val="3776113D"/>
    <w:rsid w:val="404829CD"/>
    <w:rsid w:val="41D230EC"/>
    <w:rsid w:val="4D240896"/>
    <w:rsid w:val="4FF72A51"/>
    <w:rsid w:val="62FD01E9"/>
    <w:rsid w:val="6788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D185F8C4-59B9-408B-AF62-C51422D4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963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99630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unhideWhenUsed/>
    <w:qFormat/>
    <w:rsid w:val="00996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96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9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99630F"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rsid w:val="0099630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a6">
    <w:name w:val="Table Grid"/>
    <w:basedOn w:val="a1"/>
    <w:uiPriority w:val="59"/>
    <w:qFormat/>
    <w:rsid w:val="009963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99630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9630F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99630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99630F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99630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9630F"/>
    <w:rPr>
      <w:sz w:val="18"/>
      <w:szCs w:val="18"/>
    </w:rPr>
  </w:style>
  <w:style w:type="paragraph" w:customStyle="1" w:styleId="TOC2">
    <w:name w:val="TOC 标题2"/>
    <w:basedOn w:val="1"/>
    <w:next w:val="a"/>
    <w:uiPriority w:val="39"/>
    <w:unhideWhenUsed/>
    <w:qFormat/>
    <w:rsid w:val="0099630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075C5A-1014-488A-95B1-D8246A5F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rry</dc:creator>
  <cp:lastModifiedBy>lenovo</cp:lastModifiedBy>
  <cp:revision>33</cp:revision>
  <cp:lastPrinted>2020-03-12T08:07:00Z</cp:lastPrinted>
  <dcterms:created xsi:type="dcterms:W3CDTF">2017-04-17T05:38:00Z</dcterms:created>
  <dcterms:modified xsi:type="dcterms:W3CDTF">2020-05-14T10:27:00Z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