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73" w:rsidRPr="00BC40C4" w:rsidRDefault="00133273" w:rsidP="00133273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t>复方氨</w:t>
      </w:r>
      <w:proofErr w:type="gramStart"/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t>酚那敏</w:t>
      </w:r>
      <w:proofErr w:type="gramEnd"/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t>颗粒说明书修订详情</w:t>
      </w: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6"/>
        <w:gridCol w:w="3193"/>
        <w:gridCol w:w="4750"/>
      </w:tblGrid>
      <w:tr w:rsidR="00133273" w:rsidRPr="00BC40C4" w:rsidTr="00833435">
        <w:trPr>
          <w:trHeight w:val="387"/>
        </w:trPr>
        <w:tc>
          <w:tcPr>
            <w:tcW w:w="806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686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2508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133273" w:rsidRPr="00BC40C4" w:rsidTr="00833435">
        <w:trPr>
          <w:trHeight w:val="1398"/>
        </w:trPr>
        <w:tc>
          <w:tcPr>
            <w:tcW w:w="80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686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有时有轻度头晕、乏力、恶心、上腹不适、口干、食欲缺乏和皮疹等，可自行恢复。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8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1、有时有轻度头晕、乏力、恶心、上腹不适、口干、食欲缺乏等，可自行恢复。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2、偶见皮疹。有报道，极少数患者使用对乙酰氨基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可能出现致命的、严重的皮肤不良反应。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3、过量使用对乙酰氨基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可引起严重肝损伤。</w:t>
            </w:r>
          </w:p>
        </w:tc>
      </w:tr>
      <w:tr w:rsidR="00133273" w:rsidRPr="00BC40C4" w:rsidTr="00833435">
        <w:trPr>
          <w:trHeight w:val="709"/>
        </w:trPr>
        <w:tc>
          <w:tcPr>
            <w:tcW w:w="80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686" w:type="pct"/>
            <w:vAlign w:val="center"/>
          </w:tcPr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 xml:space="preserve"> 严重肝肾功能不全者禁用。</w:t>
            </w:r>
          </w:p>
        </w:tc>
        <w:tc>
          <w:tcPr>
            <w:tcW w:w="2508" w:type="pct"/>
            <w:vAlign w:val="center"/>
          </w:tcPr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1、严重肝肾功能不全者禁用。2、对本品过敏者禁用。</w:t>
            </w:r>
          </w:p>
        </w:tc>
      </w:tr>
      <w:tr w:rsidR="00133273" w:rsidRPr="00BC40C4" w:rsidTr="00833435">
        <w:tc>
          <w:tcPr>
            <w:tcW w:w="80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686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1.用药3-7天，症状未缓解，请咨询医师或药师。  2.服用本品期间不得饮酒或含有酒精的饮料。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3.不能同时服用与本品成份相似的其他抗感冒药。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4.前列腺肥大、青光眼等患者以及老年人应在医师指导下使用。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5.肝、肾功能不全者慎用。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6.孕妇及哺乳期妇女慎用。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7.服药期间不得驾驶机、车、船、从事高空作业、机械作业及操作精密仪器。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8.如服用过量或出现严重不良反应，应立即就医。对本品过敏者禁用，过敏体质者慎用。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9.本品性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状发生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改变时禁止使用。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10.请将本品放在儿童不能接触的地方。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11.如正在使用其他药品，使用本品前请咨询医师或药师。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508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1、用药3-7天，症状未缓解，请咨询医师或药师。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2、服用本品期间不得饮酒或含有酒精的饮料。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3、不能同时服用与本品成份相似的其他抗感冒药。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4、前列腺肥大、青光眼等患者以及老年人应在医师指导下使用。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5、肝、肾功能不全者慎用。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6、孕妇及哺乳期妇女慎用。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7、服药期间不得驾驶机、车、船、从事高空作业、机械作业及操作精密仪器。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8、当出现皮疹或过敏反应的其他征象时，如用药后出现瘙痒、皮疹，尤其出现口腔、眼、外生殖器红斑、糜烂等，应立即停药并咨询医生。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9、因过量使用对乙酰氨基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口服一日最大量不超过2克。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10、应尽量避免合并使用含有对乙酰氨基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或其他解热镇痛药的药品，以避免药物过量或导致毒性协同作用。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11、如服用过量或出现严重不良反应，应立即就医。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12、过敏体质者慎用，对本品过敏者禁用。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13、本品性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状发生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改变时禁止使用。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14、请将本品放在儿童不能接触的地方。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15、如正在使用其他药品，使用本品前请咨询医师或药师。</w:t>
            </w:r>
          </w:p>
        </w:tc>
      </w:tr>
    </w:tbl>
    <w:p w:rsidR="00133273" w:rsidRDefault="00133273" w:rsidP="00133273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133273" w:rsidRPr="00BC40C4" w:rsidRDefault="00133273" w:rsidP="00133273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>
        <w:rPr>
          <w:rFonts w:ascii="仿宋" w:eastAsia="仿宋" w:hAnsi="仿宋" w:cs="仿宋"/>
          <w:b/>
          <w:bCs/>
          <w:sz w:val="28"/>
          <w:szCs w:val="28"/>
        </w:rPr>
        <w:br w:type="page"/>
      </w:r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精制银翘解毒片说明书修订详情</w:t>
      </w:r>
    </w:p>
    <w:tbl>
      <w:tblPr>
        <w:tblW w:w="50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27"/>
        <w:gridCol w:w="3259"/>
        <w:gridCol w:w="4683"/>
      </w:tblGrid>
      <w:tr w:rsidR="00133273" w:rsidRPr="00BC40C4" w:rsidTr="00833435">
        <w:trPr>
          <w:trHeight w:val="387"/>
        </w:trPr>
        <w:tc>
          <w:tcPr>
            <w:tcW w:w="806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721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2473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133273" w:rsidRPr="00BC40C4" w:rsidTr="00833435">
        <w:trPr>
          <w:trHeight w:val="1348"/>
        </w:trPr>
        <w:tc>
          <w:tcPr>
            <w:tcW w:w="80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721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偶见皮疹、荨麻疹、药热及粒细胞减少。长期大量用药会导致肝肾功能异常。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473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1、偶见荨麻疹、药热及粒细胞减少。长期大量用药会导致肝肾功能异常。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2、偶见皮疹。有报道，极少数患者使用对乙酰氨基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可能出现致命的、严重的皮肤不良反应。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3、过量使用对乙酰氨基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可引起严重肝损伤。</w:t>
            </w:r>
          </w:p>
        </w:tc>
      </w:tr>
      <w:tr w:rsidR="00133273" w:rsidRPr="00BC40C4" w:rsidTr="00833435">
        <w:trPr>
          <w:trHeight w:val="751"/>
        </w:trPr>
        <w:tc>
          <w:tcPr>
            <w:tcW w:w="80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721" w:type="pct"/>
            <w:vAlign w:val="center"/>
          </w:tcPr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严重肝肾功能不全者禁用。</w:t>
            </w:r>
          </w:p>
        </w:tc>
        <w:tc>
          <w:tcPr>
            <w:tcW w:w="2473" w:type="pct"/>
            <w:vAlign w:val="center"/>
          </w:tcPr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1、严重肝肾功能不全者禁用。2、对本品过敏者禁用。</w:t>
            </w:r>
          </w:p>
        </w:tc>
      </w:tr>
      <w:tr w:rsidR="00133273" w:rsidRPr="00BC40C4" w:rsidTr="00833435">
        <w:trPr>
          <w:trHeight w:val="8119"/>
        </w:trPr>
        <w:tc>
          <w:tcPr>
            <w:tcW w:w="80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721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1.忌烟、酒及辛辣、生冷、油腻食物。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2.不宜在服药期间同时服用滋补性中成药。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3.本品含对乙酰氨基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。服用本品期间不得饮酒或含有酒精的饮料；不能同时服用与本品成份相似的其他抗感冒药；肝、肾功能不全者慎用；孕妇及哺乳期妇女慎用。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4.脾胃虚寒，症见腹痛、喜暖、泄泻者慎用。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5.高血压、心脏病、糖尿病等慢性病严重者应在医师指导下服用。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6.儿童、年老体弱者应在医师指导下服用。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7.服药3天后症状无改善，或症状加重，或出现新的严重症状如胸闷、心悸等应立即停药，并去医院就诊。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8.对本品过敏者禁用，过敏体质者慎用。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9.本品性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状发生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改变时禁止使用。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10.儿童必须在成人监护下使用。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11.请将本品放在儿童不能接触的地方。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12.如正在使用其他药品，使用本品前请咨询医师或药师。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473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1、忌烟、酒及辛辣、生冷、油腻食物。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2、不宜在服药期间同时服用滋补性中成药。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3、本品含对乙酰氨基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。服用本品期间不得饮酒或含有酒精的饮料；不能同时服用与本品成份相似的其他抗感冒药；肝、肾功能不全者慎用；孕妇及哺乳期妇女慎用。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4、脾胃虚寒，症见腹痛、喜暖、泄泻者慎用。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5、高血压、心脏病、糖尿病等慢性病严重者应在医师指导下服用。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6、当出现皮疹或过敏反应的其他征象时，如用药后出现瘙痒、皮疹，尤其出现口腔、眼、外生殖器红斑、糜烂等，应立即停药并咨询医生。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7、因过量使用对乙酰氨基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有引起严重肝损伤的报道，应严格按说明书使用。用药期间如发现肝生化指标异常或出现全身乏力、食欲不振、厌油、恶心、上腹胀痛、尿黄、目黄、皮肤黄染等可能与肝损伤有关的临床表现时，应立即停药并就医。建议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口服一日最大量不超过2克。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8、应尽量避免合并使用含有对乙酰氨基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或其他解热镇痛药的药品，以避免药物过量或导致毒性协同作用。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9、儿童、年老体弱者应在医师指导下服用。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10、服药3天后症状无改善，或症状加重，或出现新的严重症状如胸闷、心悸等应立即停药，并去医院就诊。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11、过敏体质者慎用，对本品过敏者禁用。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12、本品性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状发生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改变时禁止使用。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13、儿童必须在成人监护下使用。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14、请将本品放在儿童不能接触的地方。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15、如正在使用其他药品，使用本品前请咨询医师或药师。</w:t>
            </w:r>
          </w:p>
        </w:tc>
      </w:tr>
    </w:tbl>
    <w:p w:rsidR="00133273" w:rsidRDefault="00133273" w:rsidP="00133273">
      <w:pPr>
        <w:ind w:right="119"/>
        <w:jc w:val="center"/>
        <w:rPr>
          <w:rFonts w:ascii="仿宋" w:eastAsia="仿宋" w:hAnsi="仿宋" w:cs="仿宋"/>
          <w:b/>
          <w:bCs/>
          <w:sz w:val="28"/>
          <w:szCs w:val="28"/>
        </w:rPr>
        <w:sectPr w:rsidR="00133273" w:rsidSect="003526B5">
          <w:footerReference w:type="even" r:id="rId8"/>
          <w:footerReference w:type="default" r:id="rId9"/>
          <w:pgSz w:w="11906" w:h="16838"/>
          <w:pgMar w:top="1701" w:right="1701" w:bottom="1701" w:left="1134" w:header="851" w:footer="992" w:gutter="0"/>
          <w:cols w:space="720"/>
          <w:titlePg/>
          <w:docGrid w:type="linesAndChars" w:linePitch="597" w:charSpace="3208"/>
        </w:sectPr>
      </w:pPr>
    </w:p>
    <w:p w:rsidR="00133273" w:rsidRPr="00BC40C4" w:rsidRDefault="00133273" w:rsidP="00133273">
      <w:pPr>
        <w:ind w:right="119"/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proofErr w:type="gramStart"/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酚</w:t>
      </w:r>
      <w:proofErr w:type="gramEnd"/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t>氨</w:t>
      </w:r>
      <w:proofErr w:type="gramStart"/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t>咖</w:t>
      </w:r>
      <w:proofErr w:type="gramEnd"/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t>敏片说明书修订详情</w:t>
      </w:r>
    </w:p>
    <w:tbl>
      <w:tblPr>
        <w:tblW w:w="560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4"/>
        <w:gridCol w:w="4538"/>
        <w:gridCol w:w="8787"/>
      </w:tblGrid>
      <w:tr w:rsidR="00133273" w:rsidRPr="00BC40C4" w:rsidTr="00833435">
        <w:trPr>
          <w:trHeight w:val="387"/>
        </w:trPr>
        <w:tc>
          <w:tcPr>
            <w:tcW w:w="648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1482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2870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133273" w:rsidRPr="00BC40C4" w:rsidTr="00833435">
        <w:trPr>
          <w:trHeight w:val="2115"/>
        </w:trPr>
        <w:tc>
          <w:tcPr>
            <w:tcW w:w="648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48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本复方所含氨基比林均有明显不良反应。服用氨基比林可有呕吐、皮疹、发热、大量出汗及发生口腔炎等，少数可致中性粒细胞缺乏、再生障碍性贫血、渗出性红斑、剥脱性皮炎、龟头糜烂等。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870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1、本复方所含氨基比林均有明显不良反应。服用氨基比林可有呕吐、皮疹、发热、大量出汗及发生口腔炎等，少数可致中性粒细胞缺乏、再生障碍性贫血、渗出性红斑、龟头糜烂等。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2、有报道，极少数患者使用对乙酰氨基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可能出现致命的、严重的皮肤不良反应，例如剥脱性皮炎、中毒性表皮坏死松解症（TEN）、Stevens Johnson综合征（SJS）、急性泛发性发疹性脓疱病（AGEP）。这些严重事件可在没有征兆的情况下出现。当出现皮疹或过敏反应的其他征象时，应立即停用本品并咨询专科医生。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 xml:space="preserve"> 3、过量使用对乙酰氨基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可引起严重肝损伤。</w:t>
            </w:r>
          </w:p>
        </w:tc>
      </w:tr>
      <w:tr w:rsidR="00133273" w:rsidRPr="00BC40C4" w:rsidTr="00833435">
        <w:trPr>
          <w:trHeight w:val="407"/>
        </w:trPr>
        <w:tc>
          <w:tcPr>
            <w:tcW w:w="648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48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1．对氨基比林、咖啡因或马来酸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氯苯那敏过敏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2．胃溃疡患者禁用。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3．新生儿或早产儿禁用。</w:t>
            </w:r>
          </w:p>
        </w:tc>
        <w:tc>
          <w:tcPr>
            <w:tcW w:w="2870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1、对氨基比林、咖啡因或马来酸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氯苯那敏过敏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2、胃溃疡患者禁用。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3、新生儿或早产儿禁用。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4、对本品过敏者禁用。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5、服用阿司匹林或其他非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体类抗炎药后诱发哮喘、荨麻疹或过敏反应的患者。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6、禁用于冠状动脉搭桥手术（CABG）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围手术期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疼痛的治疗。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7、有应用非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体抗炎药后发生胃肠道出血或穿孔病史的患者。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8、有活动性消化道溃疡/出血，或者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既往曾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复发溃疡/出血的患者。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9、重度心力衰竭患者。</w:t>
            </w:r>
          </w:p>
        </w:tc>
      </w:tr>
      <w:tr w:rsidR="00133273" w:rsidRPr="00BC40C4" w:rsidTr="00833435">
        <w:tc>
          <w:tcPr>
            <w:tcW w:w="648" w:type="pct"/>
            <w:vAlign w:val="center"/>
          </w:tcPr>
          <w:p w:rsidR="00133273" w:rsidRPr="00BC40C4" w:rsidRDefault="00133273" w:rsidP="00833435">
            <w:pPr>
              <w:spacing w:line="240" w:lineRule="exact"/>
              <w:jc w:val="center"/>
              <w:rPr>
                <w:rFonts w:ascii="仿宋" w:eastAsia="仿宋" w:hAnsi="仿宋" w:cs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148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1．本品长期服用可导致肾脏损害，严重者可致肾乳头坏死或尿毒症，甚至可能诱发肾盂癌和膀胱癌。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2．氨基比林在胃酸下与食物发生作用，可形成致癌性亚硝基化合物，特别是亚硝胺，因此有潜在致癌性。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3．不宜长久使用，以免发生中性粒细胞缺乏，用药超过1周要定期检查血象。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4．长期服用可造成依赖性，并产生耐受。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5．对各种创伤性剧痛和内脏平滑肌绞痛无效。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6．本品不可应用于下呼吸道感染和哮喘发作的患者（因可使痰液变稠而加重疾病）。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7．交叉过敏，对其他抗组胺药或下列药品过敏者，对本品也可能过敏，如麻黄碱、肾上</w:t>
            </w:r>
            <w:r w:rsidRPr="00BC40C4">
              <w:rPr>
                <w:rFonts w:ascii="仿宋" w:eastAsia="仿宋" w:hAnsi="仿宋" w:cs="仿宋" w:hint="eastAsia"/>
                <w:szCs w:val="21"/>
              </w:rPr>
              <w:lastRenderedPageBreak/>
              <w:t>腺素、异丙肾上腺素、间羟异丙肾上腺素（羟喘）、去甲肾上腺素等拟交感神经药，对碘过敏者对本品可能也过敏。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8．下列情况应慎用：膀胱颈部梗阻、幽门十二指肠梗阻、消化性溃疡所致幽门狭窄、心血管疾病、 青光眼（或有青光眼倾向者）、高血压、高血压危象、甲状腺机能亢进、前列腺肥大体征明显时。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9． 驾驶机动车辆、操作机器及高空作业者不宜服用。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870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lastRenderedPageBreak/>
              <w:t>1、本品长期服用可导致肾脏损害，严重者可致肾乳头坏死或尿毒症，甚至可能诱发肾盂癌和膀胱癌。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2、氨基比林在胃酸下与食物发生作用，可形成致癌性亚硝基化合物，特别是亚硝胺，因此有潜在致癌性。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3、不宜长久使用，以免发生中性粒细胞缺乏，用药超过1周要定期检查血象。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4、长期服用可造成依赖性，并产生耐受。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5、对各种创伤性剧痛和内脏平滑肌绞痛无效。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6、本品不可应用于下呼吸道感染和哮喘发作的患者（因可使痰液变稠而加重疾病）。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7、交叉过敏，对其他抗组胺药或下列药品过敏者，对本品也可能过敏，如麻黄碱、肾上腺素、异丙肾上腺素、间羟异丙肾上腺素（羟喘）、去甲肾上腺素等拟交感神经药，对碘过敏者对本品可能也过敏。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8、下列情况应慎用：膀胱颈部梗阻、幽门十二指肠梗阻、消化性溃疡所致幽门狭窄、心血管疾病、青光眼（或有青光眼倾向者）、高血压、高血压危象、甲状腺机能亢进、前列腺肥大体征明显时。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9、驾驶机动车辆、操作机器及高空作业者不宜服用。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lastRenderedPageBreak/>
              <w:t>10、避免与其它非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体抗炎药，包括选择性COX-2抑制剂合并用药。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11、根据控制症状的需要，在最短治疗时间内使用最低有效剂量，可以使不良反应降到最低。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12、在使用所有非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体抗炎药治疗过程中的任何时候，都可能出现胃肠道出血、溃疡和穿孔的不良反应，其风险可能是致命的。这些不良反应可能伴有或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不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伴有警示症状，也无论患者是否有胃肠道不良反应史或严重的胃肠事件病史。既往有胃肠道病史（溃疡性大肠炎，克隆氏病）的患者应谨慎使用非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体抗炎药，以免使病情恶化。当患者服用该药发生胃肠道出血或溃疡时，应停药。老年患者使用非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药出现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不良反应的频率增加，尤其是胃肠道出血和穿孔，其风险可能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是致命的。</w:t>
            </w:r>
          </w:p>
          <w:p w:rsidR="00133273" w:rsidRPr="00BC40C4" w:rsidRDefault="00133273" w:rsidP="00133273">
            <w:pPr>
              <w:numPr>
                <w:ilvl w:val="0"/>
                <w:numId w:val="8"/>
              </w:num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针对多种COX-2选择性或非选择性NSAIDs药物持续时间达3年的临床试验显示，本品可能引起严重心血管血栓性不良事件、心肌梗塞和中风的风险增加，其风险可能是致命的。所有的NSAIDs，包括COX-2选择性或非选择性药物，可能有相似的风险。有心血管疾病或心血管疾病危险因素的患者，其风险更大。即使既往没有心血管症状，医生和患者也应对此类事件的发生保持警惕。应告知患者严重心血管安全性的症状和/或体征以及如果发生应采取的步骤。</w:t>
            </w:r>
          </w:p>
          <w:p w:rsidR="00133273" w:rsidRPr="00BC40C4" w:rsidRDefault="00133273" w:rsidP="00833435">
            <w:pPr>
              <w:spacing w:line="240" w:lineRule="exact"/>
              <w:ind w:firstLineChars="200" w:firstLine="451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患者应该警惕诸如胸痛、气短、无力、言语含糊等症状和体征，而且当有任何上述症状或体征发生后应该马上寻求医生帮助。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14、和所有非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体抗炎药（NSAIDs）一样，本品可导致新发高血压或使已有的高血压症状加重，其中的任何一种都可导致心血管事件的发生率增加。服用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噻嗪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类或髓袢利尿剂的患者服用非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体抗炎药（NSAIDs）时，可能会影响这些药物的疗效。高血压病患者应慎用非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体抗炎药（NSAIDs），包括本品。在开始本品治疗和整个治疗过程中应密切监测血压。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15、有高血压和/或心力衰竭（如液体潴留和水肿）病史的患者应慎用。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16、NSAIDs，包括本品可能引起致命的、严重的皮肤不良反应，例如剥脱性皮炎、Stevens Johnson综合征（SJS）和中毒性表皮坏死溶解症（TEN）。这些严重事件可在没有征兆的情况下出现。应告知患者严重皮肤反应的症状和体征，在第一次出现皮肤皮疹或过敏反应的其他征象时，应停用本品。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17、严重肝损伤：超剂量使用对乙酰氨基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引起严重肝损伤，故本品用量应严格按说明书应用；长期用药应定时检查肝生化指标。用药期间如发现肝生化指标异常或出现全身乏力、食欲不振、厌油、恶心、上腹胀痛、尿黄、目黄、皮肤黄染等可能与肝损伤有关的临床表现时，应立即停药并就医，建议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口服一日最大量不超过2g。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18、过敏体质者慎用，对本品过敏者禁用。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19、应尽量避免合并使用含有对乙酰氨基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或其他解热镇痛药的药品，以避免药物过量或导致毒性协同作用。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20、N-乙酰半胱氨酸是对乙酰氨基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中毒的拮抗药，宜尽早应用，12小时内给药疗效满意，超过24小时疗效较差。</w:t>
            </w:r>
          </w:p>
        </w:tc>
      </w:tr>
    </w:tbl>
    <w:p w:rsidR="00133273" w:rsidRDefault="00133273" w:rsidP="00133273">
      <w:pPr>
        <w:ind w:right="119"/>
        <w:rPr>
          <w:rFonts w:ascii="仿宋" w:eastAsia="仿宋" w:hAnsi="仿宋" w:cs="黑体"/>
          <w:sz w:val="32"/>
          <w:szCs w:val="32"/>
        </w:rPr>
        <w:sectPr w:rsidR="00133273" w:rsidSect="00903D2D">
          <w:pgSz w:w="16838" w:h="11906" w:orient="landscape"/>
          <w:pgMar w:top="1134" w:right="1701" w:bottom="1701" w:left="1701" w:header="851" w:footer="992" w:gutter="0"/>
          <w:cols w:space="720"/>
          <w:titlePg/>
          <w:docGrid w:type="linesAndChars" w:linePitch="597" w:charSpace="3208"/>
        </w:sectPr>
      </w:pPr>
    </w:p>
    <w:p w:rsidR="00133273" w:rsidRPr="00BC40C4" w:rsidRDefault="00133273" w:rsidP="00133273">
      <w:pPr>
        <w:jc w:val="center"/>
        <w:rPr>
          <w:rFonts w:ascii="仿宋" w:eastAsia="仿宋" w:hAnsi="仿宋" w:cs="仿宋" w:hint="eastAsia"/>
          <w:b/>
          <w:bCs/>
          <w:sz w:val="28"/>
          <w:szCs w:val="28"/>
        </w:rPr>
      </w:pPr>
      <w:r w:rsidRPr="00BC40C4"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复方乙酰水杨酸片说明书修订详情</w:t>
      </w:r>
    </w:p>
    <w:tbl>
      <w:tblPr>
        <w:tblW w:w="5607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03"/>
        <w:gridCol w:w="6803"/>
        <w:gridCol w:w="6803"/>
      </w:tblGrid>
      <w:tr w:rsidR="00133273" w:rsidRPr="00BC40C4" w:rsidTr="00833435">
        <w:trPr>
          <w:trHeight w:val="395"/>
        </w:trPr>
        <w:tc>
          <w:tcPr>
            <w:tcW w:w="556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修订</w:t>
            </w:r>
            <w:r w:rsidRPr="005130D2">
              <w:rPr>
                <w:rFonts w:ascii="仿宋" w:eastAsia="仿宋" w:hAnsi="仿宋" w:hint="eastAsia"/>
                <w:b/>
                <w:szCs w:val="21"/>
              </w:rPr>
              <w:t>项目</w:t>
            </w:r>
          </w:p>
        </w:tc>
        <w:tc>
          <w:tcPr>
            <w:tcW w:w="2222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修订前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  <w:tc>
          <w:tcPr>
            <w:tcW w:w="2222" w:type="pct"/>
            <w:vAlign w:val="center"/>
          </w:tcPr>
          <w:p w:rsidR="00133273" w:rsidRPr="005130D2" w:rsidRDefault="00133273" w:rsidP="00833435">
            <w:pPr>
              <w:snapToGrid w:val="0"/>
              <w:ind w:right="119"/>
              <w:jc w:val="center"/>
              <w:rPr>
                <w:rFonts w:ascii="仿宋" w:eastAsia="仿宋" w:hAnsi="仿宋"/>
                <w:b/>
                <w:szCs w:val="21"/>
              </w:rPr>
            </w:pPr>
            <w:r w:rsidRPr="005130D2">
              <w:rPr>
                <w:rFonts w:ascii="仿宋" w:eastAsia="仿宋" w:hAnsi="仿宋" w:hint="eastAsia"/>
                <w:b/>
                <w:szCs w:val="21"/>
              </w:rPr>
              <w:t>修订后</w:t>
            </w:r>
            <w:r>
              <w:rPr>
                <w:rFonts w:ascii="仿宋" w:eastAsia="仿宋" w:hAnsi="仿宋" w:hint="eastAsia"/>
                <w:b/>
                <w:szCs w:val="21"/>
              </w:rPr>
              <w:t>说明书</w:t>
            </w:r>
            <w:r>
              <w:rPr>
                <w:rFonts w:ascii="仿宋" w:eastAsia="仿宋" w:hAnsi="仿宋"/>
                <w:b/>
                <w:szCs w:val="21"/>
              </w:rPr>
              <w:t>内容</w:t>
            </w:r>
          </w:p>
        </w:tc>
      </w:tr>
      <w:tr w:rsidR="00133273" w:rsidRPr="00BC40C4" w:rsidTr="00833435">
        <w:trPr>
          <w:trHeight w:val="4511"/>
        </w:trPr>
        <w:tc>
          <w:tcPr>
            <w:tcW w:w="55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不良反应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222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本品为由阿司匹林和非那西丁为主所组成的复方片剂。阿司匹林较常见的不良反应有恶心、呕吐、上腹部不适或疼痛等胃肠道反应，停药后多可消失；长期或大量应用时可发生胃肠道出血或溃疡；在服用一定疗程后可出现可逆性耳鸣、听力下降；少数病人可发生哮喘、荨麻疹、血管神经性水肿或休克等过敏反应，严重者可致死亡；剂量过大时可致肝肾功能损害。非那西丁可引起肾乳头坏死、间质性肾炎并发生急性肾功能衰竭，甚至可能诱发肾盂癌和膀胱癌。非那西丁还易使血红蛋白形成高铁血红蛋白，使血液的携氧能力下降，引起紫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绀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反应。另外非那西丁还可以引起溶血和溶血性贫血，并对视网膜有一定毒性。长期服用非那西丁，还可造成对药物的依赖性。非那西丁还可以引起肝脏损害。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本品为由阿司匹林和非那西丁为主所组成的复方片剂。阿司匹林较常见的不良反应有恶心、呕吐、上腹部不适或疼痛等胃肠道反应，停药后多可消失；长期或大量应用时可发生胃肠道出血或溃疡；在服用一定疗程后可出现可逆性耳鸣、听力下降；少数病人可发生哮喘、荨麻疹、血管神经性水肿或休克等过敏反应，严重者可致死亡；剂量过大时可致肝肾功能损害。非那西丁可引起肾乳头坏死、间质性肾炎并发生急性肾功能衰竭，甚至可能诱发肾盂癌和膀胱癌。非那西丁还易使血红蛋白形成高铁血红蛋白，使血液的携氧能力下降，引起紫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绀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反应。另外非那西丁还可以引起溶血和溶血性贫血，并对视网膜有一定毒性。长期服用非那西丁，还可造成对药物的依赖性。非那西丁还可以引起肝脏损害。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2、有报道，极少数患者使用对乙酰氨基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可能出现致命的、严重的皮肤不良反应，例如剥脱性皮炎、中毒性表皮坏死松解症（TEN）、Stevens Johnson综合征（SJS）、急性泛发性发疹性脓疱病（AGEP）。这些严重事件可在没有征兆的情况下出现。当出现皮疹或过敏反应的其他征象时，应立即停用本品并咨询专科医生。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3、过量使用对乙酰氨基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可引起严重肝损伤。</w:t>
            </w:r>
          </w:p>
        </w:tc>
      </w:tr>
      <w:tr w:rsidR="00133273" w:rsidRPr="00BC40C4" w:rsidTr="00833435">
        <w:trPr>
          <w:trHeight w:val="3256"/>
        </w:trPr>
        <w:tc>
          <w:tcPr>
            <w:tcW w:w="55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禁忌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222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1.对阿司匹林或其他非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体抗炎药以及咖啡因类药物过敏者，血友病、活动性消化性溃疡及其他原因所致消化道出血者禁用。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2.3个月龄以下婴儿禁用。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3.已知对本品过敏的患者。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4.服用阿司匹林或其他非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体类抗炎药后诱发哮喘、荨麻疹或过敏反应的患者。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5.禁用于冠状动脉搭桥手术（CABG）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围手术期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疼痛的治疗。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6.有应用非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体抗炎药后发生胃肠道出血或穿孔病史的患者。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7.有活动性消化道溃疡/出血，或者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既往曾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复发溃疡/出血的患者。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8.重度心力衰竭患者。</w:t>
            </w:r>
          </w:p>
        </w:tc>
        <w:tc>
          <w:tcPr>
            <w:tcW w:w="222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1、对阿司匹林或其他非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体抗炎药以及咖啡因类药物过敏者，血友病、活动性消化性溃疡及其他原因所致消化道出血者禁用。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2、3个月龄以下婴儿禁用。</w:t>
            </w:r>
          </w:p>
          <w:p w:rsidR="00133273" w:rsidRPr="00BC40C4" w:rsidRDefault="00133273" w:rsidP="00133273">
            <w:pPr>
              <w:numPr>
                <w:ilvl w:val="0"/>
                <w:numId w:val="9"/>
              </w:num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对本品过敏者禁用。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4、服用阿司匹林或其他非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体类抗炎药后诱发哮喘、荨麻疹或过敏反应的患者。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5、禁用于冠状动脉搭桥手术（CABG）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围手术期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疼痛的治疗。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6、有应用非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体抗炎药后发生胃肠道出血或穿孔病史的患者。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7、有活动性消化道溃疡/出血，或者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既往曾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复发溃疡/出血的患者。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8、重度心力衰竭患者。</w:t>
            </w:r>
          </w:p>
        </w:tc>
      </w:tr>
      <w:tr w:rsidR="00133273" w:rsidRPr="00BC40C4" w:rsidTr="00833435">
        <w:tc>
          <w:tcPr>
            <w:tcW w:w="556" w:type="pct"/>
            <w:vAlign w:val="center"/>
          </w:tcPr>
          <w:p w:rsidR="00133273" w:rsidRPr="009F5087" w:rsidRDefault="00133273" w:rsidP="00833435">
            <w:pPr>
              <w:snapToGrid w:val="0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lastRenderedPageBreak/>
              <w:t>【</w:t>
            </w:r>
            <w:r w:rsidRPr="009F5087">
              <w:rPr>
                <w:rFonts w:ascii="仿宋" w:eastAsia="仿宋" w:hAnsi="仿宋" w:hint="eastAsia"/>
                <w:color w:val="000000"/>
                <w:szCs w:val="21"/>
              </w:rPr>
              <w:t>注意事项</w:t>
            </w:r>
            <w:r>
              <w:rPr>
                <w:rFonts w:ascii="仿宋" w:eastAsia="仿宋" w:hAnsi="仿宋" w:hint="eastAsia"/>
                <w:color w:val="000000"/>
                <w:szCs w:val="21"/>
              </w:rPr>
              <w:t>】</w:t>
            </w:r>
          </w:p>
        </w:tc>
        <w:tc>
          <w:tcPr>
            <w:tcW w:w="222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1.6岁以下儿童及年老体弱者慎用。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2.有哮喘及其他过敏反应者，葡萄糖-6-磷酸脱氢酶缺陷者，痛风患者，心、肝、肾功能不全者，血小板减少者及其他出血倾向者应慎用。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3.长期大量应用时应定期检查红细胞压积、肝功能及血清水杨酸含量。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4.交叉过敏反应：对本品过敏时也可能对另一种水杨酸类药或另一种非水杨酸类的非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体抗炎药过敏，必须警惕交叉过敏的可能性。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.对诊断的干扰：阿司匹林长期一日用量超过2.4g时，硫酸铜尿糖试验可出现假阳性，葡萄糖酶尿糖试验可出现假阳性；可干扰尿酮体试验；当血药浓度超过130μg/ml时，用比色法测定血尿酸可得假性高值，但用尿酸酶法则不受影响；用荧光法测定尿5-羟吲哚醋酸(5-HIAA)时可受阿司匹林干扰；尿香草基杏仁酸(VMA)的测定，由于所用方法不同，结果可高可低；由于阿司匹林抑制血小板聚集，可使出血时间延长；肝功能试验，当血药浓度&gt;250μg/ml，丙氨酸氨基转移酶、门冬氨酸氨基转移酶及血清碱性磷酸酶可有异常改变，剂量减小时可恢复正常；大剂量应用，尤其是血药浓度&gt;300μg/ml时凝血酶原时间可延长；每天用量超过5g时，血清胆固醇可降低；由于阿司匹林作用于肾小管，使钾排泄增多，可导致血钾降低；大剂量应用本品时，用放射免疫法测定血清甲状腺素(T4)及三碘甲腺原氨酸(T3)可得较低结果；由于阿司匹林与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酚磺酞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在肾小管竞争性排泄，而使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酚磺酞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排泄减少(即PSP排泄试验)。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6.避免与其它非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 xml:space="preserve">体抗炎药，包括选择性COX-2抑制剂合并用药。 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 xml:space="preserve">7.根据控制症状的需要，在最短治疗时间内使用最低有效剂量，可以使不良反应降到最低。                       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8.在使用所有非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体抗炎药治疗过程中的任何时候，都可能出现胃肠道出血、溃疡和穿孔的不良反应，其风险可能是致命的。这些不良反应可能伴有或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不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伴有警示症状，也无论患者是否有胃肠道不良反应史或严重的胃肠事件病史。既往有胃肠道病史（溃疡性大肠炎，克隆氏病）的患者应谨慎使用非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体抗炎药，以免使病情恶化。当患者服用该药发生胃肠道出血或溃疡时，应停药。老年患者使用非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药出现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不良反应的频率增加，尤其是胃肠道出血和穿孔，其风险可能是致命的。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.针对多种COX-2选择性或非选择性NSAIDs药物持续时间达3年的临床试验显示，本品可能引起严重心血管血栓性不良事件、心肌梗塞和中风的风险增加，其风险可能是致命的。所有的NSAIDs，包括COX-2选择性或非选择性药物，可能有相似的风险。有心血管疾病</w:t>
            </w:r>
            <w:r w:rsidRPr="00BC40C4">
              <w:rPr>
                <w:rFonts w:ascii="仿宋" w:eastAsia="仿宋" w:hAnsi="仿宋" w:cs="仿宋" w:hint="eastAsia"/>
                <w:szCs w:val="21"/>
              </w:rPr>
              <w:lastRenderedPageBreak/>
              <w:t>或心血管疾病危险因素的患者，其风险更大。即使既往没有心血管症状，医生和患者也应对此类事件的发生保持警惕。应告知患者严重心血管安全性的症状和/或体征以及如果发生应采取的步骤。</w:t>
            </w:r>
          </w:p>
          <w:p w:rsidR="00133273" w:rsidRPr="00BC40C4" w:rsidRDefault="00133273" w:rsidP="00833435">
            <w:pPr>
              <w:spacing w:line="240" w:lineRule="exact"/>
              <w:ind w:firstLineChars="200" w:firstLine="451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患者应该警惕诸如胸痛、气短、无力、言语含糊等症状和体征，而且当有任何上述症状或体征发生后应该马上寻求医生帮助。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10.和所有非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体抗炎药（NSAIDs）一样，本品可导致新发高血压或使已有的高血压症状加重，其中的任何一种都可导致心血管事件的发生率增加。服用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噻嗪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类或髓袢利尿剂的患者服用非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体抗炎药（NSAIDs）时，可能会影响这些药物的疗效。高血压病患者应慎用非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体抗炎药（NSAIDs），包括本品。在开始本品治疗和整个治疗过程中应密切监测血压。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11.有高血压和/或心力衰竭（如液体潴留和水肿）病史的患者应慎用。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12.NSAIDs，包括本品可能引起致命的、严重的皮肤不良反应，例如剥脱性皮炎、Stevens Johnson综合征（SJS）和中毒性表皮坏死溶解症（TEN）。这些严重事件可在没有征兆的情况下出现。应告知患者严重皮肤反应的症状和体征，在第一次出现皮肤皮疹或过敏反应的其他征象时，应停用本品。</w:t>
            </w:r>
          </w:p>
          <w:p w:rsidR="00133273" w:rsidRPr="00BC40C4" w:rsidRDefault="00133273" w:rsidP="00833435">
            <w:pPr>
              <w:spacing w:line="24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222" w:type="pct"/>
            <w:vAlign w:val="center"/>
          </w:tcPr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lastRenderedPageBreak/>
              <w:t>1、6岁以下儿童及年老体弱者慎用。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2、有哮喘及其他过敏反应者，葡萄糖-6-磷酸脱氢酶缺陷者，痛风患者，心、肝、肾功能不全者，血小板减少者及其他出血倾向者应慎用。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3、长期大量应用时应定期检查红细胞压积、肝功能及血清水杨酸含量。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4、交叉过敏反应：对本品过敏时也可能对另一种水杨酸类药或另一种非水杨酸类的非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体抗炎药过敏，必须警惕交叉过敏的可能性。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5、对诊断的干扰：阿司匹林长期一日用量超过2.4g时，硫酸铜尿糖试验可出现假阳性，葡萄糖酶尿糖试验可出现假阳性；可干扰尿酮体试验；当血药浓度超过130μg/ml时，用比色法测定血尿酸可得假性高值，但用尿酸酶法则不受影响；用荧光法测定尿5-羟吲哚醋酸(5-HIAA)时可受阿司匹林干扰；尿香草基杏仁酸 (VMA)的测定，由于所用方法不同，结果可高可低；由于阿司匹林抑制血小板聚集，可使出血时间延长；肝功能试验，当血药浓度&gt;250μg/ml，丙氨酸氨基转移酶、门冬氨酸氨基转移酶及血清碱性磷酸酶可有异常改变，剂量减小时可恢复正常；大剂量应用，尤其是血药浓度&gt;300μg/ml时凝血酶原时间可延长；每天用量超过5g时，血清胆固醇可降低；由于阿司匹林作用于肾小管，使钾排泄增多，可导致血钾降低；大剂量应用本品时，用放射免疫法测定血清甲状腺素(T</w:t>
            </w:r>
            <w:r w:rsidRPr="00BC40C4">
              <w:rPr>
                <w:rFonts w:ascii="仿宋" w:eastAsia="仿宋" w:hAnsi="仿宋" w:cs="仿宋" w:hint="eastAsia"/>
                <w:szCs w:val="21"/>
                <w:vertAlign w:val="subscript"/>
              </w:rPr>
              <w:t>4</w:t>
            </w:r>
            <w:r w:rsidRPr="00BC40C4">
              <w:rPr>
                <w:rFonts w:ascii="仿宋" w:eastAsia="仿宋" w:hAnsi="仿宋" w:cs="仿宋" w:hint="eastAsia"/>
                <w:szCs w:val="21"/>
              </w:rPr>
              <w:t>)及三碘甲腺原氨酸(T</w:t>
            </w:r>
            <w:r w:rsidRPr="00BC40C4">
              <w:rPr>
                <w:rFonts w:ascii="仿宋" w:eastAsia="仿宋" w:hAnsi="仿宋" w:cs="仿宋" w:hint="eastAsia"/>
                <w:szCs w:val="21"/>
                <w:vertAlign w:val="subscript"/>
              </w:rPr>
              <w:t>3</w:t>
            </w:r>
            <w:r w:rsidRPr="00BC40C4">
              <w:rPr>
                <w:rFonts w:ascii="仿宋" w:eastAsia="仿宋" w:hAnsi="仿宋" w:cs="仿宋" w:hint="eastAsia"/>
                <w:szCs w:val="21"/>
              </w:rPr>
              <w:t>)可得较低结果；由于阿司匹林与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酚磺酞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在肾小管竞争性排泄，而使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酚磺酞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排泄减少(即PSP排泄试验)。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6、避免与其它非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 xml:space="preserve">体抗炎药，包括选择性COX-2抑制剂合并用药。 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 xml:space="preserve">7、根据控制症状的需要，在最短治疗时间内使用最低有效剂量，可以使不良反应降到最低。                       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8、在使用所有非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体抗炎药治疗过程中的任何时候，都可能出现胃肠道出血、溃疡和穿孔的不良反应，其风险可能是致命的。这些不良反应可能伴有或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不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伴有警示症状，也无论患者是否有胃肠道不良反应史或严重的胃肠事件病史。既往有胃肠道病史（溃疡性大肠炎，克隆氏病）的患者应谨慎使用非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体抗炎药，以免使病情恶化。当患者服用该药发生胃肠道出血或溃疡时，应停药。老年患者使用非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药出现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不良反应的频率增加，尤其是胃肠道出血和穿孔，其风险可能是致命的。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9、针对多种COX-2选择性或非选择性NSAIDs药物持续时间达3年的临床试验显示，本品可能引起严重心血管血栓性不良事件、心肌梗塞和中风的风险增加，其风险可能是致命的。所有的NSAIDs，包括COX-2选择性或非选择性药物，可能有相似的风险。有心血管疾</w:t>
            </w:r>
            <w:r w:rsidRPr="00BC40C4">
              <w:rPr>
                <w:rFonts w:ascii="仿宋" w:eastAsia="仿宋" w:hAnsi="仿宋" w:cs="仿宋" w:hint="eastAsia"/>
                <w:szCs w:val="21"/>
              </w:rPr>
              <w:lastRenderedPageBreak/>
              <w:t>病或心血管疾病危险因素的患者，其风险更大。即使既往没有心血管症状，医生和患者也应对此类事件的发生保持警惕。应告知患者严重心血管安全性的症状和/或体征以及如果发生应采取的步骤。</w:t>
            </w:r>
          </w:p>
          <w:p w:rsidR="00133273" w:rsidRPr="00BC40C4" w:rsidRDefault="00133273" w:rsidP="00833435">
            <w:pPr>
              <w:spacing w:line="240" w:lineRule="exact"/>
              <w:ind w:firstLineChars="200" w:firstLine="451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患者应该警惕诸如胸痛、气短、无力、言语含糊等症状和体征，而且当有任何上述症状或体征发生后应该马上寻求医生帮助。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10、和所有非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体抗炎药（NSAIDs）一样，本品可导致新发高血压或使已有的高血压症状加重，其中的任何一种都可导致心血管事件的发生率增加。服用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噻嗪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类或髓袢利尿剂的患者服用非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体抗炎药（NSAIDs）时，可能会影响这些药物的疗效。高血压病患者应慎用非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甾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体抗炎药（NSAIDs），包括本品。在开始本品治疗和整个治疗过程中应密切监测血压。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11、有高血压和/或心力衰竭（如液体潴留和水肿）病史的患者应慎用。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12、NSAIDs，包括本品可能引起致命的、严重的皮肤不良反应，例如剥脱性皮炎、Stevens Johnson综合征（SJS）和中毒性表皮坏死溶解症（TEN）。这些严重事件可在没有征兆的情况下出现。应告知患者严重皮肤反应的症状和体征，在第一次出现皮肤皮疹或过敏反应的其他征象时，应停用本品。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13、严重肝损伤：超剂量使用对乙酰氨基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可引起严重肝损伤，故本品用量应严格按说明书应用；长期用药应定时检查肝生化指标。用药期间如发现肝生化指标异常或出现全身乏力、食欲不振、厌油、恶心、上腹胀痛、尿黄、目黄、皮肤黄染等可能与肝损伤有关的临床表现时，应立即停药并就医，建议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口服一日最大量不超过2g。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14、过敏体质者慎用，对本品过敏者禁用。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15、应尽量避免合并使用含有对乙酰氨基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或其他解热镇痛药的药品，以避免药物过量或导致毒性协同作用。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szCs w:val="21"/>
              </w:rPr>
            </w:pPr>
            <w:r w:rsidRPr="00BC40C4">
              <w:rPr>
                <w:rFonts w:ascii="仿宋" w:eastAsia="仿宋" w:hAnsi="仿宋" w:cs="仿宋" w:hint="eastAsia"/>
                <w:szCs w:val="21"/>
              </w:rPr>
              <w:t>16、N-乙酰半胱氨酸是对乙酰氨基</w:t>
            </w:r>
            <w:proofErr w:type="gramStart"/>
            <w:r w:rsidRPr="00BC40C4">
              <w:rPr>
                <w:rFonts w:ascii="仿宋" w:eastAsia="仿宋" w:hAnsi="仿宋" w:cs="仿宋" w:hint="eastAsia"/>
                <w:szCs w:val="21"/>
              </w:rPr>
              <w:t>酚</w:t>
            </w:r>
            <w:proofErr w:type="gramEnd"/>
            <w:r w:rsidRPr="00BC40C4">
              <w:rPr>
                <w:rFonts w:ascii="仿宋" w:eastAsia="仿宋" w:hAnsi="仿宋" w:cs="仿宋" w:hint="eastAsia"/>
                <w:szCs w:val="21"/>
              </w:rPr>
              <w:t>中毒的拮抗药，宜尽早应用，12小时内给药疗效满意，超过24小时疗效较差。</w:t>
            </w:r>
          </w:p>
          <w:p w:rsidR="00133273" w:rsidRPr="00BC40C4" w:rsidRDefault="00133273" w:rsidP="00833435">
            <w:pPr>
              <w:spacing w:line="240" w:lineRule="exact"/>
              <w:rPr>
                <w:rFonts w:ascii="仿宋" w:eastAsia="仿宋" w:hAnsi="仿宋" w:cs="仿宋" w:hint="eastAsia"/>
                <w:kern w:val="0"/>
                <w:szCs w:val="21"/>
              </w:rPr>
            </w:pPr>
          </w:p>
        </w:tc>
      </w:tr>
    </w:tbl>
    <w:p w:rsidR="00133273" w:rsidRPr="00BC40C4" w:rsidRDefault="00133273" w:rsidP="00133273">
      <w:pPr>
        <w:ind w:right="119" w:firstLineChars="1200" w:firstLine="4028"/>
        <w:rPr>
          <w:rFonts w:ascii="仿宋" w:eastAsia="仿宋" w:hAnsi="仿宋" w:cs="黑体" w:hint="eastAsia"/>
          <w:sz w:val="32"/>
          <w:szCs w:val="32"/>
        </w:rPr>
      </w:pPr>
    </w:p>
    <w:p w:rsidR="003B5E9F" w:rsidRPr="00133273" w:rsidRDefault="003B5E9F" w:rsidP="00133273">
      <w:bookmarkStart w:id="0" w:name="_GoBack"/>
      <w:bookmarkEnd w:id="0"/>
    </w:p>
    <w:sectPr w:rsidR="003B5E9F" w:rsidRPr="00133273" w:rsidSect="002F7D12">
      <w:pgSz w:w="16838" w:h="11906" w:orient="landscape"/>
      <w:pgMar w:top="1134" w:right="1701" w:bottom="1701" w:left="1701" w:header="851" w:footer="992" w:gutter="0"/>
      <w:cols w:space="720"/>
      <w:titlePg/>
      <w:docGrid w:type="linesAndChars" w:linePitch="597" w:charSpace="32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29B" w:rsidRDefault="0009229B" w:rsidP="0099435C">
      <w:r>
        <w:separator/>
      </w:r>
    </w:p>
  </w:endnote>
  <w:endnote w:type="continuationSeparator" w:id="0">
    <w:p w:rsidR="0009229B" w:rsidRDefault="0009229B" w:rsidP="0099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73" w:rsidRDefault="001332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273" w:rsidRDefault="00133273">
    <w:pPr>
      <w:pStyle w:val="a5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29B" w:rsidRDefault="0009229B" w:rsidP="0099435C">
      <w:r>
        <w:separator/>
      </w:r>
    </w:p>
  </w:footnote>
  <w:footnote w:type="continuationSeparator" w:id="0">
    <w:p w:rsidR="0009229B" w:rsidRDefault="0009229B" w:rsidP="00994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2777544"/>
    <w:multiLevelType w:val="singleLevel"/>
    <w:tmpl w:val="E2777544"/>
    <w:lvl w:ilvl="0">
      <w:start w:val="3"/>
      <w:numFmt w:val="decimal"/>
      <w:suff w:val="nothing"/>
      <w:lvlText w:val="%1、"/>
      <w:lvlJc w:val="left"/>
    </w:lvl>
  </w:abstractNum>
  <w:abstractNum w:abstractNumId="1">
    <w:nsid w:val="0E6432CB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3712DBF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445C4D50"/>
    <w:multiLevelType w:val="hybridMultilevel"/>
    <w:tmpl w:val="616284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AAB45EA"/>
    <w:multiLevelType w:val="hybridMultilevel"/>
    <w:tmpl w:val="B4B2C6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53B800D3"/>
    <w:multiLevelType w:val="hybridMultilevel"/>
    <w:tmpl w:val="D7A2E764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8293715"/>
    <w:multiLevelType w:val="hybridMultilevel"/>
    <w:tmpl w:val="74987606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C6B14F6"/>
    <w:multiLevelType w:val="hybridMultilevel"/>
    <w:tmpl w:val="73227982"/>
    <w:lvl w:ilvl="0" w:tplc="AA8AD9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B4FB1A8"/>
    <w:multiLevelType w:val="singleLevel"/>
    <w:tmpl w:val="7B4FB1A8"/>
    <w:lvl w:ilvl="0">
      <w:start w:val="13"/>
      <w:numFmt w:val="decimal"/>
      <w:suff w:val="nothing"/>
      <w:lvlText w:val="%1、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023373"/>
    <w:rsid w:val="0001400E"/>
    <w:rsid w:val="00055B8D"/>
    <w:rsid w:val="000728D8"/>
    <w:rsid w:val="00080761"/>
    <w:rsid w:val="0009229B"/>
    <w:rsid w:val="00133273"/>
    <w:rsid w:val="00144B0A"/>
    <w:rsid w:val="001B2A46"/>
    <w:rsid w:val="001B7E5E"/>
    <w:rsid w:val="002230A6"/>
    <w:rsid w:val="002B3270"/>
    <w:rsid w:val="002C122F"/>
    <w:rsid w:val="002F1A7C"/>
    <w:rsid w:val="0034060B"/>
    <w:rsid w:val="00340F9C"/>
    <w:rsid w:val="00365B3D"/>
    <w:rsid w:val="00367086"/>
    <w:rsid w:val="003B5E9F"/>
    <w:rsid w:val="003D08BF"/>
    <w:rsid w:val="004B46F6"/>
    <w:rsid w:val="004E04AD"/>
    <w:rsid w:val="00502021"/>
    <w:rsid w:val="00517E07"/>
    <w:rsid w:val="005846FD"/>
    <w:rsid w:val="005A45E9"/>
    <w:rsid w:val="005B0B43"/>
    <w:rsid w:val="00621A5C"/>
    <w:rsid w:val="00622996"/>
    <w:rsid w:val="006262C2"/>
    <w:rsid w:val="006634A1"/>
    <w:rsid w:val="00690171"/>
    <w:rsid w:val="006B3D9F"/>
    <w:rsid w:val="006C13F2"/>
    <w:rsid w:val="006F02A3"/>
    <w:rsid w:val="00715EB4"/>
    <w:rsid w:val="007171A1"/>
    <w:rsid w:val="00724086"/>
    <w:rsid w:val="00734C65"/>
    <w:rsid w:val="00751893"/>
    <w:rsid w:val="00825C58"/>
    <w:rsid w:val="0082791F"/>
    <w:rsid w:val="00897197"/>
    <w:rsid w:val="008B1D16"/>
    <w:rsid w:val="009340A5"/>
    <w:rsid w:val="0099435C"/>
    <w:rsid w:val="009943D7"/>
    <w:rsid w:val="00A04806"/>
    <w:rsid w:val="00A269C6"/>
    <w:rsid w:val="00A62397"/>
    <w:rsid w:val="00B17BE7"/>
    <w:rsid w:val="00B47486"/>
    <w:rsid w:val="00B64834"/>
    <w:rsid w:val="00BE4329"/>
    <w:rsid w:val="00C0254A"/>
    <w:rsid w:val="00C43808"/>
    <w:rsid w:val="00CA4A5E"/>
    <w:rsid w:val="00D02EFA"/>
    <w:rsid w:val="00D34087"/>
    <w:rsid w:val="00D70259"/>
    <w:rsid w:val="00D82F7A"/>
    <w:rsid w:val="00DA0C61"/>
    <w:rsid w:val="00DA2F4E"/>
    <w:rsid w:val="00DC7D72"/>
    <w:rsid w:val="00E146D5"/>
    <w:rsid w:val="00E57232"/>
    <w:rsid w:val="00E759F9"/>
    <w:rsid w:val="00F06884"/>
    <w:rsid w:val="00F36D17"/>
    <w:rsid w:val="00F84944"/>
    <w:rsid w:val="00F954C5"/>
    <w:rsid w:val="00FB13C5"/>
    <w:rsid w:val="00FE315F"/>
    <w:rsid w:val="00FF20FD"/>
    <w:rsid w:val="14F76F54"/>
    <w:rsid w:val="2B5E52C4"/>
    <w:rsid w:val="2C8B2B42"/>
    <w:rsid w:val="368C11B1"/>
    <w:rsid w:val="3B023373"/>
    <w:rsid w:val="3C350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5D4E85B-E32F-467F-B683-5EA2E927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F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40F9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943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9435C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943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435C"/>
    <w:rPr>
      <w:kern w:val="2"/>
      <w:sz w:val="18"/>
      <w:szCs w:val="18"/>
    </w:rPr>
  </w:style>
  <w:style w:type="paragraph" w:customStyle="1" w:styleId="CharCharCharCharCharCharCharCharCharCharCharCharCharCharCharChar">
    <w:name w:val=" Char Char Char Char Char Char Char Char Char Char Char Char Char Char Char Char"/>
    <w:basedOn w:val="a"/>
    <w:rsid w:val="00133273"/>
    <w:pPr>
      <w:tabs>
        <w:tab w:val="left" w:pos="360"/>
      </w:tabs>
    </w:pPr>
    <w:rPr>
      <w:rFonts w:ascii="Calibri" w:eastAsia="宋体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2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1424</Words>
  <Characters>8119</Characters>
  <Application>Microsoft Office Word</Application>
  <DocSecurity>0</DocSecurity>
  <Lines>67</Lines>
  <Paragraphs>19</Paragraphs>
  <ScaleCrop>false</ScaleCrop>
  <Company/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33</cp:revision>
  <cp:lastPrinted>2020-03-23T05:04:00Z</cp:lastPrinted>
  <dcterms:created xsi:type="dcterms:W3CDTF">2020-04-09T05:20:00Z</dcterms:created>
  <dcterms:modified xsi:type="dcterms:W3CDTF">2020-05-15T11:54:00Z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