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35" w:rsidRPr="00AB6E35" w:rsidRDefault="00AB6E35" w:rsidP="00AB6E35">
      <w:pPr>
        <w:spacing w:line="360" w:lineRule="auto"/>
        <w:jc w:val="center"/>
        <w:rPr>
          <w:rFonts w:ascii="宋体"/>
          <w:b/>
          <w:sz w:val="28"/>
          <w:szCs w:val="24"/>
        </w:rPr>
      </w:pPr>
      <w:r w:rsidRPr="00AB6E35">
        <w:rPr>
          <w:rFonts w:ascii="宋体" w:hAnsi="宋体" w:hint="eastAsia"/>
          <w:b/>
          <w:sz w:val="28"/>
          <w:szCs w:val="24"/>
        </w:rPr>
        <w:t>对乙酰氨基酚片</w:t>
      </w:r>
      <w:bookmarkStart w:id="0" w:name="_GoBack"/>
      <w:bookmarkEnd w:id="0"/>
      <w:r w:rsidRPr="00AB6E35">
        <w:rPr>
          <w:rFonts w:ascii="宋体" w:hAnsi="宋体" w:cs="仿宋_GB2312" w:hint="eastAsia"/>
          <w:b/>
          <w:bCs/>
          <w:kern w:val="0"/>
          <w:sz w:val="28"/>
          <w:szCs w:val="24"/>
        </w:rPr>
        <w:t>说明书</w:t>
      </w:r>
      <w:r w:rsidRPr="00AB6E35">
        <w:rPr>
          <w:rFonts w:ascii="宋体" w:hAnsi="宋体" w:hint="eastAsia"/>
          <w:b/>
          <w:sz w:val="28"/>
          <w:szCs w:val="24"/>
        </w:rPr>
        <w:t>修订详情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5278"/>
        <w:gridCol w:w="6696"/>
      </w:tblGrid>
      <w:tr w:rsidR="00AB6E35" w:rsidRPr="0092242B" w:rsidTr="00AB6E35">
        <w:trPr>
          <w:trHeight w:val="498"/>
        </w:trPr>
        <w:tc>
          <w:tcPr>
            <w:tcW w:w="565" w:type="pct"/>
            <w:vAlign w:val="center"/>
          </w:tcPr>
          <w:p w:rsidR="00AB6E35" w:rsidRPr="00570BCF" w:rsidRDefault="00AB6E35" w:rsidP="00AB6E35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1955" w:type="pct"/>
            <w:vAlign w:val="center"/>
          </w:tcPr>
          <w:p w:rsidR="00AB6E35" w:rsidRDefault="00AB6E35" w:rsidP="00AB6E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2480" w:type="pct"/>
            <w:vAlign w:val="center"/>
          </w:tcPr>
          <w:p w:rsidR="00AB6E35" w:rsidRDefault="00AB6E35" w:rsidP="00AB6E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AB6E35" w:rsidRPr="0092242B" w:rsidTr="00AB6E35">
        <w:trPr>
          <w:trHeight w:val="1042"/>
        </w:trPr>
        <w:tc>
          <w:tcPr>
            <w:tcW w:w="565" w:type="pct"/>
            <w:vAlign w:val="center"/>
          </w:tcPr>
          <w:p w:rsidR="00AB6E35" w:rsidRPr="00570BCF" w:rsidRDefault="00AB6E35" w:rsidP="00AB6E3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1955" w:type="pct"/>
            <w:vAlign w:val="center"/>
          </w:tcPr>
          <w:p w:rsidR="00AB6E35" w:rsidRPr="00AB6E35" w:rsidRDefault="00AB6E35" w:rsidP="00AB6E35">
            <w:pPr>
              <w:jc w:val="left"/>
              <w:rPr>
                <w:rFonts w:ascii="宋体"/>
                <w:szCs w:val="21"/>
              </w:rPr>
            </w:pPr>
            <w:r w:rsidRPr="00AB6E35">
              <w:rPr>
                <w:rFonts w:asciiTheme="minorEastAsia" w:eastAsiaTheme="minorEastAsia" w:hAnsiTheme="minorEastAsia" w:cs="宋体" w:hint="eastAsia"/>
                <w:color w:val="292929"/>
                <w:kern w:val="0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2480" w:type="pct"/>
            <w:vAlign w:val="center"/>
          </w:tcPr>
          <w:p w:rsidR="00AB6E35" w:rsidRPr="00AB6E35" w:rsidRDefault="00AB6E35" w:rsidP="00AB6E35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1.偶见皮疹、荨麻疹、药热及粒细胞减少。有报道，极少数患者使用对乙酰氨基酚可能出现致命的、严重的皮肤不良反应。</w:t>
            </w:r>
          </w:p>
          <w:p w:rsidR="00AB6E35" w:rsidRPr="00AB6E35" w:rsidRDefault="00AB6E35" w:rsidP="00AB6E35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2.长期大量用药会导致肝肾功能异常,过量使用对乙酰氨基酚可引起严重肝损伤。</w:t>
            </w:r>
          </w:p>
        </w:tc>
      </w:tr>
      <w:tr w:rsidR="00AB6E35" w:rsidRPr="0092242B" w:rsidTr="00AB6E35">
        <w:trPr>
          <w:trHeight w:val="674"/>
        </w:trPr>
        <w:tc>
          <w:tcPr>
            <w:tcW w:w="565" w:type="pct"/>
            <w:vAlign w:val="center"/>
          </w:tcPr>
          <w:p w:rsidR="00AB6E35" w:rsidRPr="00570BCF" w:rsidRDefault="00AB6E35" w:rsidP="00AB6E35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1955" w:type="pct"/>
            <w:vAlign w:val="center"/>
          </w:tcPr>
          <w:p w:rsidR="00AB6E35" w:rsidRPr="00AB6E35" w:rsidRDefault="00AB6E35" w:rsidP="00AB6E35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严重肝肾功能不全者禁用。</w:t>
            </w:r>
          </w:p>
        </w:tc>
        <w:tc>
          <w:tcPr>
            <w:tcW w:w="2480" w:type="pct"/>
            <w:vAlign w:val="center"/>
          </w:tcPr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1.严重肝肾功能不全者禁用。</w:t>
            </w:r>
          </w:p>
          <w:p w:rsidR="00AB6E35" w:rsidRPr="00AB6E35" w:rsidRDefault="00AB6E35" w:rsidP="00AB6E35">
            <w:pPr>
              <w:pStyle w:val="a4"/>
              <w:keepNext/>
              <w:tabs>
                <w:tab w:val="left" w:pos="900"/>
              </w:tabs>
              <w:spacing w:line="240" w:lineRule="exact"/>
              <w:ind w:firstLine="0"/>
              <w:jc w:val="lef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2.对本品过敏者禁用。</w:t>
            </w:r>
          </w:p>
        </w:tc>
      </w:tr>
      <w:tr w:rsidR="00AB6E35" w:rsidRPr="0092242B" w:rsidTr="00AB6E35">
        <w:trPr>
          <w:trHeight w:val="5066"/>
        </w:trPr>
        <w:tc>
          <w:tcPr>
            <w:tcW w:w="565" w:type="pct"/>
            <w:vAlign w:val="center"/>
          </w:tcPr>
          <w:p w:rsidR="00AB6E35" w:rsidRPr="00570BCF" w:rsidRDefault="00AB6E35" w:rsidP="00AB6E35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1955" w:type="pct"/>
            <w:vAlign w:val="center"/>
          </w:tcPr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1.本品为对症治疗药，用于解热连续使用不超过3天，用于止痛不超过5天，症状未缓解请咨询医师或药师。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2.对阿司匹林过敏者慎用。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3.不能同时服用其他含有解热镇痛药的药品（如某些复方抗感冒药）。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4.肝肾功能不全者慎用。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5.孕妇及哺乳期妇女慎用。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6.服用本品期间不得饮酒或含有酒精的饮料。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7.对本品过敏者禁用，过敏体质者慎用。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8.本品性状发生改变时禁止使用。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9.请将本品放在儿童不能接触的地方。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10.儿童必须在成人监护下使用。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11.如正在使用其他药品，使用本品前请咨询医师或药师。</w:t>
            </w:r>
          </w:p>
        </w:tc>
        <w:tc>
          <w:tcPr>
            <w:tcW w:w="2480" w:type="pct"/>
            <w:vAlign w:val="center"/>
          </w:tcPr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1.当出现皮疹或过敏反应的其他征象时，如用药后出现瘙痒、皮疹，尤其出现口腔、眼、外生殖器红斑、糜烂等，应立即停药并咨询医生。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2.过敏体质者慎用，对本品过敏者禁用。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3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4.应尽量避免合并使用含有对乙酰氨基酚或其他解热镇痛药的药品，以避免药物过量或导致毒性协同作用。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5.本品为对症治疗药，用于解热连续使用不超过3天，用于止痛不超过5天，症状未缓解请咨询医师或药师。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6.对阿司匹林过敏者慎用。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7.肝肾功能不全者慎用。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8.孕妇及哺乳期妇女慎用。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9.服用本品期间不得饮酒或含有酒精的饮料。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10.本品性状发生改变时禁止使用。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11.请将本品放在儿童不能接触的地方。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 xml:space="preserve">12.儿童必须在成人监护下使用。 </w:t>
            </w:r>
          </w:p>
          <w:p w:rsidR="00AB6E35" w:rsidRPr="00AB6E35" w:rsidRDefault="00AB6E35" w:rsidP="00AB6E35">
            <w:pPr>
              <w:spacing w:line="240" w:lineRule="exact"/>
              <w:rPr>
                <w:rFonts w:ascii="宋体"/>
                <w:szCs w:val="21"/>
              </w:rPr>
            </w:pPr>
            <w:r w:rsidRPr="00AB6E35">
              <w:rPr>
                <w:rFonts w:ascii="宋体" w:hint="eastAsia"/>
                <w:szCs w:val="21"/>
              </w:rPr>
              <w:t>13.如正在使用其他药品，使用本品前请咨询医师或药师。</w:t>
            </w:r>
          </w:p>
        </w:tc>
      </w:tr>
    </w:tbl>
    <w:p w:rsidR="00D178EF" w:rsidRPr="00B63E58" w:rsidRDefault="00D178EF" w:rsidP="0074642E">
      <w:pPr>
        <w:jc w:val="left"/>
        <w:rPr>
          <w:sz w:val="16"/>
        </w:rPr>
      </w:pPr>
    </w:p>
    <w:sectPr w:rsidR="00D178EF" w:rsidRPr="00B63E58" w:rsidSect="00807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2D" w:rsidRDefault="004F7C2D" w:rsidP="003501B0">
      <w:r>
        <w:separator/>
      </w:r>
    </w:p>
  </w:endnote>
  <w:endnote w:type="continuationSeparator" w:id="0">
    <w:p w:rsidR="004F7C2D" w:rsidRDefault="004F7C2D" w:rsidP="0035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2D" w:rsidRDefault="004F7C2D" w:rsidP="003501B0">
      <w:r>
        <w:separator/>
      </w:r>
    </w:p>
  </w:footnote>
  <w:footnote w:type="continuationSeparator" w:id="0">
    <w:p w:rsidR="004F7C2D" w:rsidRDefault="004F7C2D" w:rsidP="0035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3B84AB6"/>
    <w:multiLevelType w:val="hybridMultilevel"/>
    <w:tmpl w:val="27A41952"/>
    <w:lvl w:ilvl="0" w:tplc="EE6E7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110735"/>
    <w:multiLevelType w:val="multilevel"/>
    <w:tmpl w:val="051107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F438C6"/>
    <w:multiLevelType w:val="hybridMultilevel"/>
    <w:tmpl w:val="124E9D62"/>
    <w:lvl w:ilvl="0" w:tplc="206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FF133F"/>
    <w:multiLevelType w:val="hybridMultilevel"/>
    <w:tmpl w:val="054C94D4"/>
    <w:lvl w:ilvl="0" w:tplc="EEE8DD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B64506"/>
    <w:multiLevelType w:val="hybridMultilevel"/>
    <w:tmpl w:val="275EAB7E"/>
    <w:lvl w:ilvl="0" w:tplc="046C11E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2A"/>
    <w:rsid w:val="00045661"/>
    <w:rsid w:val="00074EEB"/>
    <w:rsid w:val="0019582A"/>
    <w:rsid w:val="00215159"/>
    <w:rsid w:val="00221C63"/>
    <w:rsid w:val="00334400"/>
    <w:rsid w:val="003501B0"/>
    <w:rsid w:val="003A2E8F"/>
    <w:rsid w:val="003B555E"/>
    <w:rsid w:val="00431327"/>
    <w:rsid w:val="004740F4"/>
    <w:rsid w:val="004A482A"/>
    <w:rsid w:val="004E530F"/>
    <w:rsid w:val="004F7C2D"/>
    <w:rsid w:val="00591E33"/>
    <w:rsid w:val="005A79BB"/>
    <w:rsid w:val="006158BC"/>
    <w:rsid w:val="00674B5A"/>
    <w:rsid w:val="006B54CE"/>
    <w:rsid w:val="006D3744"/>
    <w:rsid w:val="006D7A2A"/>
    <w:rsid w:val="0074642E"/>
    <w:rsid w:val="0079141F"/>
    <w:rsid w:val="0080776D"/>
    <w:rsid w:val="00850822"/>
    <w:rsid w:val="00893F75"/>
    <w:rsid w:val="008B31D7"/>
    <w:rsid w:val="0092242B"/>
    <w:rsid w:val="0092449B"/>
    <w:rsid w:val="00A23961"/>
    <w:rsid w:val="00A32E89"/>
    <w:rsid w:val="00AB6E35"/>
    <w:rsid w:val="00AC37E6"/>
    <w:rsid w:val="00AF54E5"/>
    <w:rsid w:val="00B02866"/>
    <w:rsid w:val="00B63E58"/>
    <w:rsid w:val="00B72093"/>
    <w:rsid w:val="00B821CE"/>
    <w:rsid w:val="00BA5712"/>
    <w:rsid w:val="00CB01BF"/>
    <w:rsid w:val="00CE0015"/>
    <w:rsid w:val="00D178EF"/>
    <w:rsid w:val="00D86483"/>
    <w:rsid w:val="00E2438F"/>
    <w:rsid w:val="00EE09F6"/>
    <w:rsid w:val="00F14C4F"/>
    <w:rsid w:val="00F85CBB"/>
    <w:rsid w:val="00F91B14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DAD6A9-9470-4BDE-9D8D-AB7F947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A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0776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Indent"/>
    <w:basedOn w:val="a"/>
    <w:uiPriority w:val="99"/>
    <w:rsid w:val="0080776D"/>
    <w:pPr>
      <w:ind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rsid w:val="0035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3501B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5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3501B0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7209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A2E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2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Company>WwW.YlmF.CoM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7</cp:revision>
  <cp:lastPrinted>2017-08-15T02:06:00Z</cp:lastPrinted>
  <dcterms:created xsi:type="dcterms:W3CDTF">2018-04-09T07:55:00Z</dcterms:created>
  <dcterms:modified xsi:type="dcterms:W3CDTF">2020-03-22T08:51:00Z</dcterms:modified>
</cp:coreProperties>
</file>