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1D" w:rsidRDefault="00C35A1D" w:rsidP="008B31D7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附件：</w:t>
      </w:r>
    </w:p>
    <w:p w:rsidR="00C35A1D" w:rsidRPr="008B31D7" w:rsidRDefault="00E649A4" w:rsidP="003817BC">
      <w:pPr>
        <w:jc w:val="center"/>
        <w:rPr>
          <w:b/>
          <w:sz w:val="28"/>
        </w:rPr>
      </w:pPr>
      <w:r>
        <w:rPr>
          <w:rFonts w:ascii="宋体" w:hAnsi="宋体" w:hint="eastAsia"/>
          <w:b/>
          <w:sz w:val="28"/>
          <w:szCs w:val="28"/>
        </w:rPr>
        <w:t>呋喃唑酮片</w:t>
      </w:r>
      <w:r w:rsidR="00C35A1D" w:rsidRPr="003501B0">
        <w:rPr>
          <w:rFonts w:hint="eastAsia"/>
          <w:b/>
          <w:sz w:val="28"/>
        </w:rPr>
        <w:t>说明书补充申请内容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105"/>
        <w:gridCol w:w="6301"/>
      </w:tblGrid>
      <w:tr w:rsidR="00682587" w:rsidRPr="00E9360F" w:rsidTr="00A20E39">
        <w:tc>
          <w:tcPr>
            <w:tcW w:w="775" w:type="pct"/>
            <w:vAlign w:val="center"/>
          </w:tcPr>
          <w:p w:rsidR="00682587" w:rsidRPr="00E9360F" w:rsidRDefault="00682587" w:rsidP="00E9360F">
            <w:pPr>
              <w:jc w:val="center"/>
              <w:rPr>
                <w:szCs w:val="21"/>
              </w:rPr>
            </w:pPr>
            <w:r w:rsidRPr="00E9360F">
              <w:rPr>
                <w:rFonts w:hint="eastAsia"/>
                <w:szCs w:val="21"/>
              </w:rPr>
              <w:t>内容</w:t>
            </w:r>
          </w:p>
        </w:tc>
        <w:tc>
          <w:tcPr>
            <w:tcW w:w="1891" w:type="pct"/>
            <w:vAlign w:val="center"/>
          </w:tcPr>
          <w:p w:rsidR="00682587" w:rsidRPr="00E9360F" w:rsidRDefault="00682587" w:rsidP="00E9360F">
            <w:pPr>
              <w:jc w:val="center"/>
              <w:rPr>
                <w:szCs w:val="21"/>
              </w:rPr>
            </w:pPr>
            <w:r w:rsidRPr="00E9360F">
              <w:rPr>
                <w:rFonts w:hint="eastAsia"/>
                <w:szCs w:val="21"/>
              </w:rPr>
              <w:t>原有说明书</w:t>
            </w:r>
          </w:p>
        </w:tc>
        <w:tc>
          <w:tcPr>
            <w:tcW w:w="2335" w:type="pct"/>
            <w:vAlign w:val="center"/>
          </w:tcPr>
          <w:p w:rsidR="00682587" w:rsidRPr="00E9360F" w:rsidRDefault="00682587" w:rsidP="00E9360F">
            <w:pPr>
              <w:jc w:val="center"/>
              <w:rPr>
                <w:szCs w:val="21"/>
              </w:rPr>
            </w:pPr>
            <w:r w:rsidRPr="00E9360F">
              <w:rPr>
                <w:rFonts w:hint="eastAsia"/>
                <w:szCs w:val="21"/>
              </w:rPr>
              <w:t>修订后的说明书</w:t>
            </w:r>
          </w:p>
        </w:tc>
      </w:tr>
      <w:tr w:rsidR="00682587" w:rsidRPr="00E9360F" w:rsidTr="00A20E39">
        <w:trPr>
          <w:trHeight w:val="1250"/>
        </w:trPr>
        <w:tc>
          <w:tcPr>
            <w:tcW w:w="775" w:type="pct"/>
            <w:vAlign w:val="center"/>
          </w:tcPr>
          <w:p w:rsidR="00682587" w:rsidRPr="00E9360F" w:rsidRDefault="00682587" w:rsidP="006825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警示语</w:t>
            </w:r>
          </w:p>
        </w:tc>
        <w:tc>
          <w:tcPr>
            <w:tcW w:w="1891" w:type="pct"/>
            <w:vAlign w:val="center"/>
          </w:tcPr>
          <w:p w:rsidR="00682587" w:rsidRPr="00E9360F" w:rsidRDefault="00682587" w:rsidP="00A20E3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严禁用于食品和饲料加工</w:t>
            </w:r>
          </w:p>
        </w:tc>
        <w:tc>
          <w:tcPr>
            <w:tcW w:w="2335" w:type="pct"/>
            <w:vAlign w:val="center"/>
          </w:tcPr>
          <w:p w:rsidR="00682587" w:rsidRPr="00C30F2E" w:rsidRDefault="00682587" w:rsidP="00A20E39">
            <w:pPr>
              <w:ind w:firstLineChars="15" w:firstLine="31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严禁用于食品和饲料加工。</w:t>
            </w:r>
            <w:r w:rsidRPr="00AE1D0A">
              <w:rPr>
                <w:rFonts w:ascii="宋体" w:hAnsi="宋体" w:hint="eastAsia"/>
                <w:bCs/>
                <w:szCs w:val="21"/>
                <w:lang w:val="zh-CN"/>
              </w:rPr>
              <w:t>葡萄糖-6-磷酸脱氢酶缺乏性患者使用本品容易发生溶血性贫血，禁用于该人群。随着用药时间延长和用药剂量的增加，容易发生不可逆的神经炎；呋喃唑酮可发生严重的皮肤反应，如血清病样荨麻疹等。</w:t>
            </w:r>
          </w:p>
        </w:tc>
      </w:tr>
      <w:tr w:rsidR="00682587" w:rsidRPr="00E9360F" w:rsidTr="00A20E39">
        <w:tc>
          <w:tcPr>
            <w:tcW w:w="775" w:type="pct"/>
            <w:vAlign w:val="center"/>
          </w:tcPr>
          <w:p w:rsidR="00682587" w:rsidRPr="00E9360F" w:rsidRDefault="00682587" w:rsidP="00682587">
            <w:pPr>
              <w:jc w:val="center"/>
              <w:rPr>
                <w:rFonts w:ascii="宋体"/>
                <w:szCs w:val="21"/>
              </w:rPr>
            </w:pPr>
            <w:r w:rsidRPr="00E9360F">
              <w:rPr>
                <w:rFonts w:ascii="宋体" w:hAnsi="宋体" w:hint="eastAsia"/>
                <w:szCs w:val="21"/>
              </w:rPr>
              <w:t>适应症</w:t>
            </w:r>
          </w:p>
        </w:tc>
        <w:tc>
          <w:tcPr>
            <w:tcW w:w="1891" w:type="pct"/>
            <w:vAlign w:val="center"/>
          </w:tcPr>
          <w:p w:rsidR="00682587" w:rsidRPr="00E9360F" w:rsidRDefault="00682587" w:rsidP="00A20E39">
            <w:pPr>
              <w:pStyle w:val="a4"/>
              <w:keepNext/>
              <w:tabs>
                <w:tab w:val="left" w:pos="900"/>
              </w:tabs>
              <w:spacing w:line="240" w:lineRule="atLeast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  <w:r w:rsidRPr="00E9360F">
              <w:rPr>
                <w:rFonts w:ascii="宋体" w:hAnsi="宋体" w:hint="eastAsia"/>
                <w:szCs w:val="21"/>
              </w:rPr>
              <w:t>用于敏感菌所致的</w:t>
            </w:r>
            <w:r>
              <w:rPr>
                <w:rFonts w:ascii="宋体" w:hAnsi="宋体" w:hint="eastAsia"/>
                <w:szCs w:val="21"/>
              </w:rPr>
              <w:t>细菌性痢疾、肠炎、霍乱，也可以用于伤寒、副伤寒、贾地鞭毛虫病、帝虫病等。与制酸剂等药物合用可治疗幽门螺杆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菌所致的胃窦炎。</w:t>
            </w:r>
          </w:p>
        </w:tc>
        <w:tc>
          <w:tcPr>
            <w:tcW w:w="2335" w:type="pct"/>
            <w:vAlign w:val="center"/>
          </w:tcPr>
          <w:p w:rsidR="00682587" w:rsidRPr="00AE1D0A" w:rsidRDefault="00682587" w:rsidP="00A20E39">
            <w:pPr>
              <w:pStyle w:val="a4"/>
              <w:keepNext/>
              <w:tabs>
                <w:tab w:val="left" w:pos="900"/>
              </w:tabs>
              <w:spacing w:line="240" w:lineRule="atLeast"/>
              <w:ind w:firstLine="0"/>
              <w:jc w:val="center"/>
              <w:rPr>
                <w:rFonts w:ascii="宋体"/>
                <w:szCs w:val="21"/>
              </w:rPr>
            </w:pPr>
            <w:r w:rsidRPr="00AE1D0A">
              <w:rPr>
                <w:rFonts w:ascii="宋体" w:hAnsi="宋体" w:hint="eastAsia"/>
                <w:szCs w:val="21"/>
              </w:rPr>
              <w:t>本品仅用于难以根除的幽门螺旋杆菌感染。</w:t>
            </w:r>
          </w:p>
        </w:tc>
      </w:tr>
      <w:tr w:rsidR="00682587" w:rsidRPr="00E9360F" w:rsidTr="00A20E39">
        <w:tc>
          <w:tcPr>
            <w:tcW w:w="775" w:type="pct"/>
            <w:vAlign w:val="center"/>
          </w:tcPr>
          <w:p w:rsidR="00682587" w:rsidRPr="00E9360F" w:rsidRDefault="00682587" w:rsidP="006825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禁忌</w:t>
            </w:r>
          </w:p>
        </w:tc>
        <w:tc>
          <w:tcPr>
            <w:tcW w:w="1891" w:type="pct"/>
            <w:vAlign w:val="center"/>
          </w:tcPr>
          <w:p w:rsidR="00682587" w:rsidRPr="00E9360F" w:rsidRDefault="00682587" w:rsidP="00A20E3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对本品过敏者禁用。</w:t>
            </w:r>
          </w:p>
        </w:tc>
        <w:tc>
          <w:tcPr>
            <w:tcW w:w="2335" w:type="pct"/>
            <w:vAlign w:val="center"/>
          </w:tcPr>
          <w:p w:rsidR="00682587" w:rsidRPr="003E4646" w:rsidRDefault="00682587" w:rsidP="00A20E3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1.对本品过敏者禁用。2.</w:t>
            </w:r>
            <w:r>
              <w:rPr>
                <w:rFonts w:hint="eastAsia"/>
              </w:rPr>
              <w:t xml:space="preserve"> </w:t>
            </w:r>
            <w:r w:rsidRPr="003E4646">
              <w:rPr>
                <w:rFonts w:ascii="宋体" w:hint="eastAsia"/>
                <w:szCs w:val="21"/>
              </w:rPr>
              <w:t>葡萄糖-6-磷酸脱氢酶（G-6PD）缺乏者禁用。</w:t>
            </w:r>
          </w:p>
        </w:tc>
      </w:tr>
      <w:tr w:rsidR="00682587" w:rsidRPr="00E9360F" w:rsidTr="00A20E39">
        <w:tc>
          <w:tcPr>
            <w:tcW w:w="775" w:type="pct"/>
            <w:vAlign w:val="center"/>
          </w:tcPr>
          <w:p w:rsidR="00682587" w:rsidRDefault="00682587" w:rsidP="006825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儿童用药</w:t>
            </w:r>
          </w:p>
        </w:tc>
        <w:tc>
          <w:tcPr>
            <w:tcW w:w="1891" w:type="pct"/>
            <w:vAlign w:val="center"/>
          </w:tcPr>
          <w:p w:rsidR="00682587" w:rsidRDefault="00682587" w:rsidP="00A20E3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新生儿禁用。</w:t>
            </w:r>
          </w:p>
        </w:tc>
        <w:tc>
          <w:tcPr>
            <w:tcW w:w="2335" w:type="pct"/>
            <w:vAlign w:val="center"/>
          </w:tcPr>
          <w:p w:rsidR="00682587" w:rsidRPr="003E4646" w:rsidRDefault="00682587" w:rsidP="00A20E3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1. 新生儿禁用。2.</w:t>
            </w:r>
            <w:r>
              <w:rPr>
                <w:rFonts w:hint="eastAsia"/>
              </w:rPr>
              <w:t xml:space="preserve"> </w:t>
            </w:r>
            <w:r w:rsidRPr="003E4646">
              <w:rPr>
                <w:rFonts w:ascii="宋体" w:hint="eastAsia"/>
                <w:szCs w:val="21"/>
              </w:rPr>
              <w:t>14岁以下儿童禁用。</w:t>
            </w:r>
          </w:p>
        </w:tc>
      </w:tr>
      <w:tr w:rsidR="00682587" w:rsidRPr="00E9360F" w:rsidTr="00A20E39">
        <w:tc>
          <w:tcPr>
            <w:tcW w:w="775" w:type="pct"/>
            <w:vAlign w:val="center"/>
          </w:tcPr>
          <w:p w:rsidR="00682587" w:rsidRPr="00E9360F" w:rsidRDefault="00682587" w:rsidP="00682587">
            <w:pPr>
              <w:jc w:val="center"/>
              <w:rPr>
                <w:rFonts w:ascii="宋体"/>
                <w:szCs w:val="21"/>
              </w:rPr>
            </w:pPr>
            <w:r w:rsidRPr="00E9360F">
              <w:rPr>
                <w:rFonts w:ascii="宋体" w:hAnsi="宋体" w:hint="eastAsia"/>
                <w:szCs w:val="21"/>
              </w:rPr>
              <w:t>注意事项</w:t>
            </w:r>
          </w:p>
        </w:tc>
        <w:tc>
          <w:tcPr>
            <w:tcW w:w="1891" w:type="pct"/>
            <w:vAlign w:val="center"/>
          </w:tcPr>
          <w:p w:rsidR="00682587" w:rsidRPr="003E4646" w:rsidRDefault="00682587" w:rsidP="00A20E3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3E4646">
              <w:rPr>
                <w:rFonts w:ascii="宋体" w:hint="eastAsia"/>
                <w:szCs w:val="21"/>
              </w:rPr>
              <w:t>1.一般不宜用于溃疡病或支气管哮喘患者。</w:t>
            </w:r>
          </w:p>
          <w:p w:rsidR="00682587" w:rsidRPr="003E4646" w:rsidRDefault="00682587" w:rsidP="00A20E3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3E4646">
              <w:rPr>
                <w:rFonts w:ascii="宋体" w:hint="eastAsia"/>
                <w:szCs w:val="21"/>
              </w:rPr>
              <w:t>2.口服本品期间饮酒，则可引起双硫仑样反应，表现为皮肤潮红、瘙痒、发热、头痛、恶心、腹痛、心动过速、血压升高、胸闷、烦躁等，故服药期间和停药后5天内，禁止饮酒。</w:t>
            </w:r>
          </w:p>
          <w:p w:rsidR="00682587" w:rsidRPr="003E4646" w:rsidRDefault="00682587" w:rsidP="00A20E3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3E4646">
              <w:rPr>
                <w:rFonts w:ascii="宋体" w:hint="eastAsia"/>
                <w:szCs w:val="21"/>
              </w:rPr>
              <w:t>3.葡葡糖-6-磷酸脱氢酶（G-6PD）缺乏者可致溶血性贫血。</w:t>
            </w:r>
          </w:p>
          <w:p w:rsidR="00682587" w:rsidRPr="003E4646" w:rsidRDefault="00682587" w:rsidP="00A20E3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5" w:type="pct"/>
            <w:vAlign w:val="center"/>
          </w:tcPr>
          <w:p w:rsidR="00682587" w:rsidRPr="003E4646" w:rsidRDefault="00682587" w:rsidP="00A20E3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3E4646">
              <w:rPr>
                <w:rFonts w:ascii="宋体" w:hint="eastAsia"/>
                <w:szCs w:val="21"/>
              </w:rPr>
              <w:t>1.一般不宜用于溃疡病或支气管哮喘患者。</w:t>
            </w:r>
          </w:p>
          <w:p w:rsidR="00682587" w:rsidRPr="003E4646" w:rsidRDefault="00682587" w:rsidP="00A20E3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3E4646">
              <w:rPr>
                <w:rFonts w:ascii="宋体" w:hint="eastAsia"/>
                <w:szCs w:val="21"/>
              </w:rPr>
              <w:t>2.口服本品期间饮酒，则可引起双硫仑样反应，表现为皮肤潮红、瘙痒、发热、头痛、恶心、腹痛、心动过速、血压升高、胸闷、烦躁等，故服药期间和停药后5天内，禁止饮酒。</w:t>
            </w:r>
          </w:p>
          <w:p w:rsidR="00682587" w:rsidRPr="003E4646" w:rsidRDefault="00682587" w:rsidP="00A20E3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3E4646">
              <w:rPr>
                <w:rFonts w:ascii="宋体" w:hint="eastAsia"/>
                <w:szCs w:val="21"/>
              </w:rPr>
              <w:t>3.葡葡糖-6-磷酸脱氢酶（G-6PD）缺乏者可致溶血性贫血。</w:t>
            </w:r>
          </w:p>
          <w:p w:rsidR="00682587" w:rsidRPr="003E4646" w:rsidRDefault="00682587" w:rsidP="00A20E3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3E4646">
              <w:rPr>
                <w:rFonts w:ascii="宋体" w:hint="eastAsia"/>
                <w:szCs w:val="21"/>
              </w:rPr>
              <w:t>4. 动物实验显示呋喃唑酮对动物有致癌风险，但临床至今未有对人类致癌的病例报道，建议使用时权衡利弊。</w:t>
            </w:r>
          </w:p>
        </w:tc>
      </w:tr>
    </w:tbl>
    <w:p w:rsidR="00C35A1D" w:rsidRDefault="00C35A1D" w:rsidP="006D7A2A">
      <w:pPr>
        <w:jc w:val="left"/>
      </w:pPr>
    </w:p>
    <w:sectPr w:rsidR="00C35A1D" w:rsidSect="008077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62F" w:rsidRDefault="0090462F" w:rsidP="00BA1398">
      <w:r>
        <w:separator/>
      </w:r>
    </w:p>
  </w:endnote>
  <w:endnote w:type="continuationSeparator" w:id="0">
    <w:p w:rsidR="0090462F" w:rsidRDefault="0090462F" w:rsidP="00BA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62F" w:rsidRDefault="0090462F" w:rsidP="00BA1398">
      <w:r>
        <w:separator/>
      </w:r>
    </w:p>
  </w:footnote>
  <w:footnote w:type="continuationSeparator" w:id="0">
    <w:p w:rsidR="0090462F" w:rsidRDefault="0090462F" w:rsidP="00BA1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5110735"/>
    <w:multiLevelType w:val="multilevel"/>
    <w:tmpl w:val="0511073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A2A"/>
    <w:rsid w:val="000031E4"/>
    <w:rsid w:val="00051A08"/>
    <w:rsid w:val="00126D5D"/>
    <w:rsid w:val="00147FCB"/>
    <w:rsid w:val="00233A92"/>
    <w:rsid w:val="0030590E"/>
    <w:rsid w:val="00320D82"/>
    <w:rsid w:val="00340519"/>
    <w:rsid w:val="003501B0"/>
    <w:rsid w:val="003817BC"/>
    <w:rsid w:val="003E4646"/>
    <w:rsid w:val="00485226"/>
    <w:rsid w:val="005D141E"/>
    <w:rsid w:val="00682587"/>
    <w:rsid w:val="006B54CE"/>
    <w:rsid w:val="006D7A2A"/>
    <w:rsid w:val="0079141F"/>
    <w:rsid w:val="0080776D"/>
    <w:rsid w:val="00811B4F"/>
    <w:rsid w:val="00844544"/>
    <w:rsid w:val="008B31D7"/>
    <w:rsid w:val="008E77E9"/>
    <w:rsid w:val="0090462F"/>
    <w:rsid w:val="00921473"/>
    <w:rsid w:val="00A20E39"/>
    <w:rsid w:val="00A42B07"/>
    <w:rsid w:val="00AB3AA1"/>
    <w:rsid w:val="00AC375F"/>
    <w:rsid w:val="00AE1D0A"/>
    <w:rsid w:val="00B2561C"/>
    <w:rsid w:val="00B821CE"/>
    <w:rsid w:val="00BA1398"/>
    <w:rsid w:val="00C30F2E"/>
    <w:rsid w:val="00C35A1D"/>
    <w:rsid w:val="00C60F0A"/>
    <w:rsid w:val="00CD5D95"/>
    <w:rsid w:val="00D15C5A"/>
    <w:rsid w:val="00D344F2"/>
    <w:rsid w:val="00DA1238"/>
    <w:rsid w:val="00E2539C"/>
    <w:rsid w:val="00E42495"/>
    <w:rsid w:val="00E649A4"/>
    <w:rsid w:val="00E9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DE2C649-0616-4204-8923-8E63C153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7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80776D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rmal Indent"/>
    <w:basedOn w:val="a"/>
    <w:uiPriority w:val="99"/>
    <w:rsid w:val="0080776D"/>
    <w:pPr>
      <w:ind w:firstLine="420"/>
    </w:pPr>
    <w:rPr>
      <w:rFonts w:ascii="Times New Roman" w:hAnsi="Times New Roman"/>
      <w:szCs w:val="24"/>
    </w:rPr>
  </w:style>
  <w:style w:type="paragraph" w:styleId="a5">
    <w:name w:val="header"/>
    <w:basedOn w:val="a"/>
    <w:link w:val="Char"/>
    <w:uiPriority w:val="99"/>
    <w:rsid w:val="00BA1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BA1398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BA1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BA1398"/>
    <w:rPr>
      <w:rFonts w:cs="Times New Roman"/>
      <w:sz w:val="18"/>
      <w:szCs w:val="18"/>
    </w:rPr>
  </w:style>
  <w:style w:type="paragraph" w:customStyle="1" w:styleId="2">
    <w:name w:val="列出段落2"/>
    <w:basedOn w:val="a"/>
    <w:uiPriority w:val="99"/>
    <w:rsid w:val="00B2561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A9C3A9-B2E7-4B7D-AFA3-ADE857CB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570</Characters>
  <Application>Microsoft Office Word</Application>
  <DocSecurity>0</DocSecurity>
  <Lines>4</Lines>
  <Paragraphs>1</Paragraphs>
  <ScaleCrop>false</ScaleCrop>
  <Company>WwW.YlmF.CoM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lenovo</cp:lastModifiedBy>
  <cp:revision>25</cp:revision>
  <cp:lastPrinted>2017-07-27T07:18:00Z</cp:lastPrinted>
  <dcterms:created xsi:type="dcterms:W3CDTF">2017-07-12T01:52:00Z</dcterms:created>
  <dcterms:modified xsi:type="dcterms:W3CDTF">2019-12-23T02:42:00Z</dcterms:modified>
</cp:coreProperties>
</file>