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BE" w:rsidRPr="00FA361B" w:rsidRDefault="00082ABE" w:rsidP="00954BE3">
      <w:pPr>
        <w:spacing w:line="560" w:lineRule="exact"/>
        <w:rPr>
          <w:rFonts w:ascii="Times New Roman" w:eastAsia="黑体" w:hAnsi="Times New Roman" w:cs="Times New Roman"/>
          <w:bCs/>
          <w:sz w:val="32"/>
          <w:szCs w:val="32"/>
        </w:rPr>
      </w:pPr>
      <w:r w:rsidRPr="00FA361B">
        <w:rPr>
          <w:rFonts w:ascii="Times New Roman" w:eastAsia="黑体" w:hAnsi="黑体" w:cs="Times New Roman" w:hint="eastAsia"/>
          <w:bCs/>
          <w:sz w:val="32"/>
          <w:szCs w:val="32"/>
        </w:rPr>
        <w:t>附件</w:t>
      </w:r>
    </w:p>
    <w:p w:rsidR="00082ABE" w:rsidRPr="00FA361B" w:rsidRDefault="00082ABE" w:rsidP="00954BE3">
      <w:pPr>
        <w:spacing w:line="560" w:lineRule="exact"/>
        <w:rPr>
          <w:rFonts w:ascii="Times New Roman" w:eastAsia="仿宋_GB2312" w:hAnsi="Times New Roman" w:cs="Times New Roman"/>
          <w:b/>
          <w:bCs/>
          <w:sz w:val="32"/>
          <w:szCs w:val="32"/>
        </w:rPr>
      </w:pPr>
    </w:p>
    <w:p w:rsidR="00082ABE" w:rsidRPr="00FA361B" w:rsidRDefault="00082ABE" w:rsidP="00954BE3">
      <w:pPr>
        <w:spacing w:line="560" w:lineRule="exact"/>
        <w:ind w:firstLineChars="200" w:firstLine="880"/>
        <w:jc w:val="center"/>
        <w:rPr>
          <w:rFonts w:ascii="Times New Roman" w:eastAsia="方正小标宋简体" w:hAnsi="Times New Roman" w:cs="Times New Roman"/>
          <w:sz w:val="44"/>
          <w:szCs w:val="44"/>
        </w:rPr>
      </w:pPr>
      <w:r w:rsidRPr="00FA361B">
        <w:rPr>
          <w:rFonts w:ascii="Times New Roman" w:eastAsia="方正小标宋简体" w:hAnsi="方正小标宋简体" w:cs="Times New Roman" w:hint="eastAsia"/>
          <w:sz w:val="44"/>
          <w:szCs w:val="44"/>
        </w:rPr>
        <w:t>不符合标准规定产品处置情况表</w:t>
      </w:r>
    </w:p>
    <w:p w:rsidR="00082ABE" w:rsidRPr="00FA361B" w:rsidRDefault="00082ABE" w:rsidP="00954BE3">
      <w:pPr>
        <w:spacing w:line="560" w:lineRule="exact"/>
        <w:ind w:firstLineChars="200" w:firstLine="880"/>
        <w:jc w:val="center"/>
        <w:rPr>
          <w:rFonts w:ascii="Times New Roman" w:eastAsia="方正小标宋简体" w:hAnsi="Times New Roman" w:cs="Times New Roman"/>
          <w:sz w:val="44"/>
          <w:szCs w:val="44"/>
        </w:rPr>
      </w:pPr>
    </w:p>
    <w:tbl>
      <w:tblPr>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1242"/>
        <w:gridCol w:w="1503"/>
        <w:gridCol w:w="1665"/>
        <w:gridCol w:w="1365"/>
        <w:gridCol w:w="1035"/>
        <w:gridCol w:w="3000"/>
        <w:gridCol w:w="4605"/>
      </w:tblGrid>
      <w:tr w:rsidR="00082ABE" w:rsidRPr="00FA361B" w:rsidTr="00AE184E">
        <w:trPr>
          <w:jc w:val="center"/>
        </w:trPr>
        <w:tc>
          <w:tcPr>
            <w:tcW w:w="990" w:type="dxa"/>
            <w:vAlign w:val="center"/>
          </w:tcPr>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被处置企业</w:t>
            </w:r>
          </w:p>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名称</w:t>
            </w:r>
          </w:p>
        </w:tc>
        <w:tc>
          <w:tcPr>
            <w:tcW w:w="1242" w:type="dxa"/>
            <w:vAlign w:val="center"/>
          </w:tcPr>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不合符标准规定产品</w:t>
            </w:r>
          </w:p>
        </w:tc>
        <w:tc>
          <w:tcPr>
            <w:tcW w:w="1503" w:type="dxa"/>
            <w:vAlign w:val="center"/>
          </w:tcPr>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不符合标准</w:t>
            </w:r>
          </w:p>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规定项</w:t>
            </w:r>
          </w:p>
        </w:tc>
        <w:tc>
          <w:tcPr>
            <w:tcW w:w="1665" w:type="dxa"/>
            <w:vAlign w:val="center"/>
          </w:tcPr>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不合符标准规定</w:t>
            </w:r>
          </w:p>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产品召回情况</w:t>
            </w:r>
          </w:p>
        </w:tc>
        <w:tc>
          <w:tcPr>
            <w:tcW w:w="1365" w:type="dxa"/>
            <w:vAlign w:val="center"/>
          </w:tcPr>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行政处罚</w:t>
            </w:r>
          </w:p>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情况</w:t>
            </w:r>
          </w:p>
        </w:tc>
        <w:tc>
          <w:tcPr>
            <w:tcW w:w="1035" w:type="dxa"/>
            <w:vAlign w:val="center"/>
          </w:tcPr>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行政处罚公示情况</w:t>
            </w:r>
          </w:p>
        </w:tc>
        <w:tc>
          <w:tcPr>
            <w:tcW w:w="3000" w:type="dxa"/>
            <w:vAlign w:val="center"/>
          </w:tcPr>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不符合标准规定产品造成原因</w:t>
            </w:r>
          </w:p>
        </w:tc>
        <w:tc>
          <w:tcPr>
            <w:tcW w:w="4605" w:type="dxa"/>
            <w:vAlign w:val="center"/>
          </w:tcPr>
          <w:p w:rsidR="00082ABE" w:rsidRPr="00FA361B" w:rsidRDefault="00082ABE" w:rsidP="005C6FB4">
            <w:pPr>
              <w:spacing w:line="300" w:lineRule="exact"/>
              <w:jc w:val="center"/>
              <w:rPr>
                <w:rFonts w:ascii="Times New Roman" w:eastAsia="黑体" w:hAnsi="Times New Roman" w:cs="Times New Roman"/>
                <w:color w:val="000000"/>
                <w:kern w:val="0"/>
                <w:sz w:val="20"/>
                <w:szCs w:val="20"/>
              </w:rPr>
            </w:pPr>
            <w:r w:rsidRPr="00FA361B">
              <w:rPr>
                <w:rFonts w:ascii="Times New Roman" w:eastAsia="黑体" w:cs="Times New Roman" w:hint="eastAsia"/>
                <w:color w:val="000000"/>
                <w:kern w:val="0"/>
                <w:sz w:val="20"/>
                <w:szCs w:val="20"/>
              </w:rPr>
              <w:t>企业整改措施</w:t>
            </w:r>
          </w:p>
        </w:tc>
      </w:tr>
      <w:tr w:rsidR="00082ABE" w:rsidRPr="00FA361B" w:rsidTr="00AE184E">
        <w:trPr>
          <w:trHeight w:val="4468"/>
          <w:jc w:val="center"/>
        </w:trPr>
        <w:tc>
          <w:tcPr>
            <w:tcW w:w="990" w:type="dxa"/>
            <w:vAlign w:val="center"/>
          </w:tcPr>
          <w:p w:rsidR="00082ABE" w:rsidRPr="00FA361B" w:rsidRDefault="00082ABE" w:rsidP="005C6FB4">
            <w:pPr>
              <w:spacing w:line="300" w:lineRule="exact"/>
              <w:jc w:val="center"/>
              <w:rPr>
                <w:rFonts w:ascii="Times New Roman" w:eastAsia="仿宋_GB2312" w:hAnsi="Times New Roman" w:cs="Times New Roman"/>
                <w:sz w:val="22"/>
              </w:rPr>
            </w:pPr>
            <w:r w:rsidRPr="00FA361B">
              <w:rPr>
                <w:rFonts w:ascii="Times New Roman" w:eastAsia="仿宋_GB2312" w:hAnsi="Times New Roman" w:cs="Times New Roman" w:hint="eastAsia"/>
                <w:color w:val="000000"/>
                <w:kern w:val="0"/>
                <w:sz w:val="22"/>
                <w:szCs w:val="22"/>
              </w:rPr>
              <w:t>自贡市济生医用器材有限责任公司</w:t>
            </w:r>
          </w:p>
        </w:tc>
        <w:tc>
          <w:tcPr>
            <w:tcW w:w="1242" w:type="dxa"/>
            <w:vAlign w:val="center"/>
          </w:tcPr>
          <w:p w:rsidR="00082ABE" w:rsidRPr="00FA361B" w:rsidRDefault="00082ABE" w:rsidP="005C6FB4">
            <w:pPr>
              <w:spacing w:line="300" w:lineRule="exact"/>
              <w:jc w:val="center"/>
              <w:rPr>
                <w:rFonts w:ascii="Times New Roman" w:eastAsia="仿宋_GB2312" w:hAnsi="Times New Roman" w:cs="Times New Roman"/>
                <w:sz w:val="22"/>
              </w:rPr>
            </w:pPr>
            <w:r w:rsidRPr="00FA361B">
              <w:rPr>
                <w:rFonts w:ascii="Times New Roman" w:eastAsia="仿宋_GB2312" w:hAnsi="Times New Roman" w:cs="Times New Roman" w:hint="eastAsia"/>
                <w:color w:val="000000"/>
                <w:kern w:val="0"/>
                <w:sz w:val="22"/>
                <w:szCs w:val="22"/>
              </w:rPr>
              <w:t>一次性使用医用手术垫单（规格型号：甲型</w:t>
            </w:r>
            <w:r w:rsidRPr="00FA361B">
              <w:rPr>
                <w:rFonts w:ascii="Times New Roman" w:eastAsia="仿宋_GB2312" w:hAnsi="Times New Roman" w:cs="Times New Roman"/>
                <w:color w:val="000000"/>
                <w:kern w:val="0"/>
                <w:sz w:val="22"/>
                <w:szCs w:val="22"/>
              </w:rPr>
              <w:t xml:space="preserve"> 400mm×500mm</w:t>
            </w:r>
            <w:r w:rsidRPr="00FA361B">
              <w:rPr>
                <w:rFonts w:ascii="Times New Roman" w:eastAsia="仿宋_GB2312" w:hAnsi="Times New Roman" w:cs="Times New Roman" w:hint="eastAsia"/>
                <w:color w:val="000000"/>
                <w:kern w:val="0"/>
                <w:sz w:val="22"/>
                <w:szCs w:val="22"/>
              </w:rPr>
              <w:t>；生产日期</w:t>
            </w:r>
            <w:r w:rsidRPr="00FA361B">
              <w:rPr>
                <w:rFonts w:ascii="Times New Roman" w:eastAsia="仿宋_GB2312" w:hAnsi="Times New Roman" w:cs="Times New Roman"/>
                <w:color w:val="000000"/>
                <w:kern w:val="0"/>
                <w:sz w:val="22"/>
                <w:szCs w:val="22"/>
              </w:rPr>
              <w:t>/</w:t>
            </w:r>
            <w:r w:rsidRPr="00FA361B">
              <w:rPr>
                <w:rFonts w:ascii="Times New Roman" w:eastAsia="仿宋_GB2312" w:hAnsi="Times New Roman" w:cs="Times New Roman" w:hint="eastAsia"/>
                <w:color w:val="000000"/>
                <w:kern w:val="0"/>
                <w:sz w:val="22"/>
                <w:szCs w:val="22"/>
              </w:rPr>
              <w:t>批号</w:t>
            </w:r>
            <w:r w:rsidRPr="00FA361B">
              <w:rPr>
                <w:rFonts w:ascii="Times New Roman" w:eastAsia="仿宋_GB2312" w:hAnsi="Times New Roman" w:cs="Times New Roman"/>
                <w:color w:val="000000"/>
                <w:kern w:val="0"/>
                <w:sz w:val="22"/>
                <w:szCs w:val="22"/>
              </w:rPr>
              <w:t>/</w:t>
            </w:r>
            <w:r w:rsidRPr="00FA361B">
              <w:rPr>
                <w:rFonts w:ascii="Times New Roman" w:eastAsia="仿宋_GB2312" w:hAnsi="Times New Roman" w:cs="Times New Roman" w:hint="eastAsia"/>
                <w:color w:val="000000"/>
                <w:kern w:val="0"/>
                <w:sz w:val="22"/>
                <w:szCs w:val="22"/>
              </w:rPr>
              <w:t>出厂编号：</w:t>
            </w:r>
            <w:r w:rsidRPr="00FA361B">
              <w:rPr>
                <w:rFonts w:ascii="Times New Roman" w:eastAsia="仿宋_GB2312" w:hAnsi="Times New Roman" w:cs="Times New Roman"/>
                <w:color w:val="000000"/>
                <w:kern w:val="0"/>
                <w:sz w:val="22"/>
                <w:szCs w:val="22"/>
              </w:rPr>
              <w:t>20160502</w:t>
            </w:r>
            <w:r w:rsidRPr="00FA361B">
              <w:rPr>
                <w:rFonts w:ascii="Times New Roman" w:eastAsia="仿宋_GB2312" w:hAnsi="Times New Roman" w:cs="Times New Roman" w:hint="eastAsia"/>
                <w:color w:val="000000"/>
                <w:kern w:val="0"/>
                <w:sz w:val="22"/>
                <w:szCs w:val="22"/>
              </w:rPr>
              <w:t>）</w:t>
            </w:r>
          </w:p>
        </w:tc>
        <w:tc>
          <w:tcPr>
            <w:tcW w:w="1503" w:type="dxa"/>
            <w:vAlign w:val="center"/>
          </w:tcPr>
          <w:p w:rsidR="00082ABE" w:rsidRPr="00FA361B" w:rsidRDefault="00082ABE" w:rsidP="005C6FB4">
            <w:pPr>
              <w:spacing w:line="300" w:lineRule="exact"/>
              <w:jc w:val="center"/>
              <w:rPr>
                <w:rFonts w:ascii="Times New Roman" w:eastAsia="仿宋_GB2312" w:hAnsi="Times New Roman" w:cs="Times New Roman"/>
                <w:sz w:val="22"/>
              </w:rPr>
            </w:pPr>
            <w:r w:rsidRPr="00FA361B">
              <w:rPr>
                <w:rFonts w:ascii="Times New Roman" w:eastAsia="仿宋_GB2312" w:hAnsi="Times New Roman" w:cs="Times New Roman"/>
                <w:color w:val="000000"/>
                <w:kern w:val="0"/>
                <w:sz w:val="22"/>
                <w:szCs w:val="22"/>
              </w:rPr>
              <w:t>1.</w:t>
            </w:r>
            <w:r w:rsidRPr="00FA361B">
              <w:rPr>
                <w:rFonts w:ascii="Times New Roman" w:eastAsia="仿宋_GB2312" w:hAnsi="Times New Roman" w:cs="Times New Roman" w:hint="eastAsia"/>
                <w:color w:val="000000"/>
                <w:kern w:val="0"/>
                <w:sz w:val="22"/>
                <w:szCs w:val="22"/>
              </w:rPr>
              <w:t>胀破强度，干态（产品关键区域）；</w:t>
            </w:r>
            <w:r w:rsidRPr="00FA361B">
              <w:rPr>
                <w:rFonts w:ascii="Times New Roman" w:eastAsia="仿宋_GB2312" w:hAnsi="Times New Roman" w:cs="Times New Roman"/>
                <w:color w:val="000000"/>
                <w:kern w:val="0"/>
                <w:sz w:val="22"/>
                <w:szCs w:val="22"/>
              </w:rPr>
              <w:t>2.</w:t>
            </w:r>
            <w:r w:rsidRPr="00FA361B">
              <w:rPr>
                <w:rFonts w:ascii="Times New Roman" w:eastAsia="仿宋_GB2312" w:hAnsi="Times New Roman" w:cs="Times New Roman" w:hint="eastAsia"/>
                <w:color w:val="000000"/>
                <w:kern w:val="0"/>
                <w:sz w:val="22"/>
                <w:szCs w:val="22"/>
              </w:rPr>
              <w:t>胀破强度，干态</w:t>
            </w:r>
            <w:r w:rsidRPr="00FA361B">
              <w:rPr>
                <w:rFonts w:ascii="Times New Roman" w:eastAsia="仿宋_GB2312" w:hAnsi="Times New Roman" w:cs="Times New Roman" w:hint="eastAsia"/>
                <w:color w:val="000000"/>
                <w:spacing w:val="-10"/>
                <w:kern w:val="0"/>
                <w:sz w:val="22"/>
                <w:szCs w:val="22"/>
              </w:rPr>
              <w:t>（产品非关键区域）；</w:t>
            </w:r>
            <w:r w:rsidRPr="00FA361B">
              <w:rPr>
                <w:rFonts w:ascii="Times New Roman" w:eastAsia="仿宋_GB2312" w:hAnsi="Times New Roman" w:cs="Times New Roman"/>
                <w:color w:val="000000"/>
                <w:spacing w:val="-10"/>
                <w:kern w:val="0"/>
                <w:sz w:val="22"/>
                <w:szCs w:val="22"/>
              </w:rPr>
              <w:t>3.</w:t>
            </w:r>
            <w:r w:rsidRPr="00FA361B">
              <w:rPr>
                <w:rFonts w:ascii="Times New Roman" w:eastAsia="仿宋_GB2312" w:hAnsi="Times New Roman" w:cs="Times New Roman" w:hint="eastAsia"/>
                <w:color w:val="000000"/>
                <w:spacing w:val="-10"/>
                <w:kern w:val="0"/>
                <w:sz w:val="22"/>
                <w:szCs w:val="22"/>
              </w:rPr>
              <w:t>胀破强度，湿态（产品关键区域）</w:t>
            </w:r>
          </w:p>
        </w:tc>
        <w:tc>
          <w:tcPr>
            <w:tcW w:w="1665" w:type="dxa"/>
            <w:vAlign w:val="center"/>
          </w:tcPr>
          <w:p w:rsidR="00082ABE" w:rsidRPr="00FA361B" w:rsidRDefault="00082ABE" w:rsidP="005C6FB4">
            <w:pPr>
              <w:spacing w:line="300" w:lineRule="exact"/>
              <w:rPr>
                <w:rFonts w:ascii="Times New Roman" w:eastAsia="仿宋_GB2312" w:hAnsi="Times New Roman" w:cs="Times New Roman"/>
                <w:color w:val="000000"/>
                <w:kern w:val="0"/>
                <w:sz w:val="22"/>
              </w:rPr>
            </w:pPr>
            <w:r w:rsidRPr="00FA361B">
              <w:rPr>
                <w:rFonts w:ascii="Times New Roman" w:eastAsia="仿宋_GB2312" w:hAnsi="Times New Roman" w:cs="Times New Roman" w:hint="eastAsia"/>
                <w:color w:val="000000"/>
                <w:kern w:val="0"/>
                <w:sz w:val="22"/>
                <w:szCs w:val="22"/>
              </w:rPr>
              <w:t>无召回产品（该企业共生产该批次产品</w:t>
            </w:r>
            <w:r w:rsidRPr="00FA361B">
              <w:rPr>
                <w:rFonts w:ascii="Times New Roman" w:eastAsia="仿宋_GB2312" w:hAnsi="Times New Roman" w:cs="Times New Roman"/>
                <w:color w:val="000000"/>
                <w:kern w:val="0"/>
                <w:sz w:val="22"/>
                <w:szCs w:val="22"/>
              </w:rPr>
              <w:t>2190</w:t>
            </w:r>
            <w:r w:rsidRPr="00FA361B">
              <w:rPr>
                <w:rFonts w:ascii="Times New Roman" w:eastAsia="仿宋_GB2312" w:hAnsi="Times New Roman" w:cs="Times New Roman" w:hint="eastAsia"/>
                <w:color w:val="000000"/>
                <w:kern w:val="0"/>
                <w:sz w:val="22"/>
                <w:szCs w:val="22"/>
              </w:rPr>
              <w:t>张，其中</w:t>
            </w:r>
            <w:r w:rsidRPr="00FA361B">
              <w:rPr>
                <w:rFonts w:ascii="Times New Roman" w:eastAsia="仿宋_GB2312" w:hAnsi="Times New Roman" w:cs="Times New Roman"/>
                <w:color w:val="000000"/>
                <w:kern w:val="0"/>
                <w:sz w:val="22"/>
                <w:szCs w:val="22"/>
              </w:rPr>
              <w:t>90</w:t>
            </w:r>
            <w:r w:rsidRPr="00FA361B">
              <w:rPr>
                <w:rFonts w:ascii="Times New Roman" w:eastAsia="仿宋_GB2312" w:hAnsi="Times New Roman" w:cs="Times New Roman" w:hint="eastAsia"/>
                <w:color w:val="000000"/>
                <w:kern w:val="0"/>
                <w:sz w:val="22"/>
                <w:szCs w:val="22"/>
              </w:rPr>
              <w:t>张用于该企业出厂检验，</w:t>
            </w:r>
            <w:r w:rsidRPr="00FA361B">
              <w:rPr>
                <w:rFonts w:ascii="Times New Roman" w:eastAsia="仿宋_GB2312" w:hAnsi="Times New Roman" w:cs="Times New Roman"/>
                <w:color w:val="000000"/>
                <w:kern w:val="0"/>
                <w:sz w:val="22"/>
                <w:szCs w:val="22"/>
              </w:rPr>
              <w:t>70</w:t>
            </w:r>
            <w:r w:rsidRPr="00FA361B">
              <w:rPr>
                <w:rFonts w:ascii="Times New Roman" w:eastAsia="仿宋_GB2312" w:hAnsi="Times New Roman" w:cs="Times New Roman" w:hint="eastAsia"/>
                <w:color w:val="000000"/>
                <w:kern w:val="0"/>
                <w:sz w:val="22"/>
                <w:szCs w:val="22"/>
              </w:rPr>
              <w:t>张用于国家抽检样品抽样，剩余</w:t>
            </w:r>
            <w:r w:rsidRPr="00FA361B">
              <w:rPr>
                <w:rFonts w:ascii="Times New Roman" w:eastAsia="仿宋_GB2312" w:hAnsi="Times New Roman" w:cs="Times New Roman"/>
                <w:color w:val="000000"/>
                <w:kern w:val="0"/>
                <w:sz w:val="22"/>
                <w:szCs w:val="22"/>
              </w:rPr>
              <w:t>2030</w:t>
            </w:r>
            <w:r w:rsidRPr="00FA361B">
              <w:rPr>
                <w:rFonts w:ascii="Times New Roman" w:eastAsia="仿宋_GB2312" w:hAnsi="Times New Roman" w:cs="Times New Roman" w:hint="eastAsia"/>
                <w:color w:val="000000"/>
                <w:kern w:val="0"/>
                <w:sz w:val="22"/>
                <w:szCs w:val="22"/>
              </w:rPr>
              <w:t>张存放于成品库，未出厂销售）</w:t>
            </w:r>
          </w:p>
        </w:tc>
        <w:tc>
          <w:tcPr>
            <w:tcW w:w="1365" w:type="dxa"/>
            <w:vAlign w:val="center"/>
          </w:tcPr>
          <w:p w:rsidR="00082ABE" w:rsidRPr="00FA361B" w:rsidRDefault="00082ABE" w:rsidP="00954BE3">
            <w:pPr>
              <w:widowControl w:val="0"/>
              <w:numPr>
                <w:ilvl w:val="0"/>
                <w:numId w:val="2"/>
              </w:numPr>
              <w:spacing w:line="300" w:lineRule="exact"/>
              <w:jc w:val="center"/>
              <w:rPr>
                <w:rFonts w:ascii="Times New Roman" w:eastAsia="仿宋_GB2312" w:hAnsi="Times New Roman" w:cs="Times New Roman"/>
                <w:color w:val="000000"/>
                <w:kern w:val="0"/>
                <w:sz w:val="22"/>
              </w:rPr>
            </w:pPr>
            <w:r w:rsidRPr="00FA361B">
              <w:rPr>
                <w:rFonts w:ascii="Times New Roman" w:eastAsia="仿宋_GB2312" w:hAnsi="Times New Roman" w:cs="Times New Roman" w:hint="eastAsia"/>
                <w:color w:val="000000"/>
                <w:kern w:val="0"/>
                <w:sz w:val="22"/>
                <w:szCs w:val="22"/>
              </w:rPr>
              <w:t>没收不符合经注册的产品技术要求的一次性使用医用手术垫单</w:t>
            </w:r>
            <w:r w:rsidRPr="00FA361B">
              <w:rPr>
                <w:rFonts w:ascii="Times New Roman" w:eastAsia="仿宋_GB2312" w:hAnsi="Times New Roman" w:cs="Times New Roman"/>
                <w:color w:val="000000"/>
                <w:kern w:val="0"/>
                <w:sz w:val="22"/>
                <w:szCs w:val="22"/>
              </w:rPr>
              <w:t>2030</w:t>
            </w:r>
            <w:r w:rsidRPr="00FA361B">
              <w:rPr>
                <w:rFonts w:ascii="Times New Roman" w:eastAsia="仿宋_GB2312" w:hAnsi="Times New Roman" w:cs="Times New Roman" w:hint="eastAsia"/>
                <w:color w:val="000000"/>
                <w:kern w:val="0"/>
                <w:sz w:val="22"/>
                <w:szCs w:val="22"/>
              </w:rPr>
              <w:t>张；</w:t>
            </w:r>
          </w:p>
          <w:p w:rsidR="00082ABE" w:rsidRPr="00FA361B" w:rsidRDefault="00082ABE" w:rsidP="005C6FB4">
            <w:pPr>
              <w:spacing w:line="300" w:lineRule="exact"/>
              <w:rPr>
                <w:rFonts w:ascii="Times New Roman" w:eastAsia="仿宋_GB2312" w:hAnsi="Times New Roman" w:cs="Times New Roman"/>
                <w:sz w:val="22"/>
              </w:rPr>
            </w:pPr>
            <w:r w:rsidRPr="00FA361B">
              <w:rPr>
                <w:rFonts w:ascii="Times New Roman" w:eastAsia="仿宋_GB2312" w:hAnsi="Times New Roman" w:cs="Times New Roman"/>
                <w:color w:val="000000"/>
                <w:kern w:val="0"/>
                <w:sz w:val="22"/>
                <w:szCs w:val="22"/>
              </w:rPr>
              <w:t>2.</w:t>
            </w:r>
            <w:r w:rsidRPr="00FA361B">
              <w:rPr>
                <w:rFonts w:ascii="Times New Roman" w:eastAsia="仿宋_GB2312" w:hAnsi="Times New Roman" w:cs="Times New Roman" w:hint="eastAsia"/>
                <w:color w:val="000000"/>
                <w:kern w:val="0"/>
                <w:sz w:val="22"/>
                <w:szCs w:val="22"/>
              </w:rPr>
              <w:t>处以罚款</w:t>
            </w:r>
            <w:r w:rsidRPr="00FA361B">
              <w:rPr>
                <w:rFonts w:ascii="Times New Roman" w:eastAsia="仿宋_GB2312" w:hAnsi="Times New Roman" w:cs="Times New Roman"/>
                <w:color w:val="000000"/>
                <w:kern w:val="0"/>
                <w:sz w:val="22"/>
                <w:szCs w:val="22"/>
              </w:rPr>
              <w:t>6000</w:t>
            </w:r>
            <w:r w:rsidRPr="00FA361B">
              <w:rPr>
                <w:rFonts w:ascii="Times New Roman" w:eastAsia="仿宋_GB2312" w:hAnsi="Times New Roman" w:cs="Times New Roman" w:hint="eastAsia"/>
                <w:color w:val="000000"/>
                <w:kern w:val="0"/>
                <w:sz w:val="22"/>
                <w:szCs w:val="22"/>
              </w:rPr>
              <w:t>元。</w:t>
            </w:r>
          </w:p>
        </w:tc>
        <w:tc>
          <w:tcPr>
            <w:tcW w:w="1035" w:type="dxa"/>
            <w:vAlign w:val="center"/>
          </w:tcPr>
          <w:p w:rsidR="00082ABE" w:rsidRPr="00FA361B" w:rsidRDefault="00082ABE" w:rsidP="005C6FB4">
            <w:pPr>
              <w:spacing w:line="300" w:lineRule="exact"/>
              <w:jc w:val="center"/>
              <w:rPr>
                <w:rFonts w:ascii="Times New Roman" w:eastAsia="仿宋_GB2312" w:hAnsi="Times New Roman" w:cs="Times New Roman"/>
                <w:sz w:val="22"/>
              </w:rPr>
            </w:pPr>
            <w:r w:rsidRPr="00FA361B">
              <w:rPr>
                <w:rFonts w:ascii="Times New Roman" w:eastAsia="仿宋_GB2312" w:hAnsi="Times New Roman" w:cs="Times New Roman" w:hint="eastAsia"/>
                <w:color w:val="000000"/>
                <w:kern w:val="0"/>
                <w:sz w:val="22"/>
                <w:szCs w:val="22"/>
              </w:rPr>
              <w:t>已公示（链接：</w:t>
            </w:r>
            <w:r w:rsidRPr="00FA361B">
              <w:rPr>
                <w:rFonts w:ascii="Times New Roman" w:eastAsia="仿宋_GB2312" w:hAnsi="Times New Roman" w:cs="Times New Roman"/>
                <w:color w:val="000000"/>
                <w:kern w:val="0"/>
                <w:sz w:val="22"/>
                <w:szCs w:val="22"/>
              </w:rPr>
              <w:t>http://new.zg.gov.cn/web/sspypjgj/dep_tzgg/-/articles/6947071.shtml</w:t>
            </w:r>
            <w:r w:rsidRPr="00FA361B">
              <w:rPr>
                <w:rFonts w:ascii="Times New Roman" w:eastAsia="仿宋_GB2312" w:hAnsi="Times New Roman" w:cs="Times New Roman" w:hint="eastAsia"/>
                <w:color w:val="000000"/>
                <w:kern w:val="0"/>
                <w:sz w:val="22"/>
                <w:szCs w:val="22"/>
              </w:rPr>
              <w:t>）</w:t>
            </w:r>
          </w:p>
        </w:tc>
        <w:tc>
          <w:tcPr>
            <w:tcW w:w="3000" w:type="dxa"/>
            <w:vAlign w:val="center"/>
          </w:tcPr>
          <w:p w:rsidR="00082ABE" w:rsidRPr="00FA361B" w:rsidRDefault="00082ABE" w:rsidP="005C6FB4">
            <w:pPr>
              <w:spacing w:line="300" w:lineRule="exact"/>
              <w:rPr>
                <w:rFonts w:ascii="Times New Roman" w:eastAsia="仿宋_GB2312" w:hAnsi="Times New Roman" w:cs="Times New Roman"/>
                <w:sz w:val="22"/>
              </w:rPr>
            </w:pPr>
            <w:r w:rsidRPr="00FA361B">
              <w:rPr>
                <w:rFonts w:ascii="Times New Roman" w:eastAsia="仿宋_GB2312" w:hAnsi="Times New Roman" w:cs="Times New Roman"/>
                <w:color w:val="000000"/>
                <w:kern w:val="0"/>
                <w:sz w:val="22"/>
                <w:szCs w:val="22"/>
              </w:rPr>
              <w:t>1.</w:t>
            </w:r>
            <w:r w:rsidRPr="00FA361B">
              <w:rPr>
                <w:rFonts w:ascii="Times New Roman" w:eastAsia="仿宋_GB2312" w:hAnsi="Times New Roman" w:cs="Times New Roman" w:hint="eastAsia"/>
                <w:color w:val="000000"/>
                <w:kern w:val="0"/>
                <w:sz w:val="22"/>
                <w:szCs w:val="22"/>
              </w:rPr>
              <w:t>原材料把关不严。该批次产品所使用的非织造布原材料供应商提供的出厂检验报告无胀破强度等项目；</w:t>
            </w:r>
            <w:r w:rsidRPr="00FA361B">
              <w:rPr>
                <w:rFonts w:ascii="Times New Roman" w:eastAsia="仿宋_GB2312" w:hAnsi="Times New Roman" w:cs="Times New Roman"/>
                <w:color w:val="000000"/>
                <w:kern w:val="0"/>
                <w:sz w:val="22"/>
                <w:szCs w:val="22"/>
              </w:rPr>
              <w:t>2.</w:t>
            </w:r>
            <w:r w:rsidRPr="00FA361B">
              <w:rPr>
                <w:rFonts w:ascii="Times New Roman" w:eastAsia="仿宋_GB2312" w:hAnsi="Times New Roman" w:cs="Times New Roman" w:hint="eastAsia"/>
                <w:color w:val="000000"/>
                <w:kern w:val="0"/>
                <w:sz w:val="22"/>
                <w:szCs w:val="22"/>
              </w:rPr>
              <w:t>企业自身缺乏检测能力，无法对干态胀破强度、湿态胀破强度等项目进行产品质量检验；</w:t>
            </w:r>
            <w:r w:rsidRPr="00FA361B">
              <w:rPr>
                <w:rFonts w:ascii="Times New Roman" w:eastAsia="仿宋_GB2312" w:hAnsi="Times New Roman" w:cs="Times New Roman"/>
                <w:color w:val="000000"/>
                <w:kern w:val="0"/>
                <w:sz w:val="22"/>
                <w:szCs w:val="22"/>
              </w:rPr>
              <w:t>3.</w:t>
            </w:r>
            <w:r w:rsidRPr="00FA361B">
              <w:rPr>
                <w:rFonts w:ascii="Times New Roman" w:eastAsia="仿宋_GB2312" w:hAnsi="Times New Roman" w:cs="Times New Roman" w:hint="eastAsia"/>
                <w:color w:val="000000"/>
                <w:kern w:val="0"/>
                <w:sz w:val="22"/>
                <w:szCs w:val="22"/>
              </w:rPr>
              <w:t>投料把关不严，未逐项验明原材料合格情况，致使缺少检验合格证明的原材料投料生产；</w:t>
            </w:r>
            <w:r w:rsidRPr="00FA361B">
              <w:rPr>
                <w:rFonts w:ascii="Times New Roman" w:eastAsia="仿宋_GB2312" w:hAnsi="Times New Roman" w:cs="Times New Roman"/>
                <w:color w:val="000000"/>
                <w:kern w:val="0"/>
                <w:sz w:val="22"/>
                <w:szCs w:val="22"/>
              </w:rPr>
              <w:t>4.</w:t>
            </w:r>
            <w:r w:rsidRPr="00FA361B">
              <w:rPr>
                <w:rFonts w:ascii="Times New Roman" w:eastAsia="仿宋_GB2312" w:hAnsi="Times New Roman" w:cs="Times New Roman" w:hint="eastAsia"/>
                <w:color w:val="000000"/>
                <w:kern w:val="0"/>
                <w:sz w:val="22"/>
                <w:szCs w:val="22"/>
              </w:rPr>
              <w:t>检验验收等质量管理人员业务素质应进一步提高。</w:t>
            </w:r>
          </w:p>
        </w:tc>
        <w:tc>
          <w:tcPr>
            <w:tcW w:w="4605" w:type="dxa"/>
            <w:vAlign w:val="center"/>
          </w:tcPr>
          <w:p w:rsidR="00082ABE" w:rsidRPr="00FA361B" w:rsidRDefault="00082ABE" w:rsidP="005C6FB4">
            <w:pPr>
              <w:spacing w:line="300" w:lineRule="exact"/>
              <w:jc w:val="center"/>
              <w:rPr>
                <w:rFonts w:ascii="Times New Roman" w:eastAsia="仿宋_GB2312" w:hAnsi="Times New Roman" w:cs="Times New Roman"/>
                <w:sz w:val="22"/>
              </w:rPr>
            </w:pPr>
            <w:r w:rsidRPr="00FA361B">
              <w:rPr>
                <w:rFonts w:ascii="Times New Roman" w:eastAsia="仿宋_GB2312" w:hAnsi="Times New Roman" w:cs="Times New Roman"/>
                <w:color w:val="000000"/>
                <w:kern w:val="0"/>
                <w:sz w:val="22"/>
                <w:szCs w:val="22"/>
              </w:rPr>
              <w:t>1.</w:t>
            </w:r>
            <w:r w:rsidRPr="00FA361B">
              <w:rPr>
                <w:rFonts w:ascii="Times New Roman" w:eastAsia="仿宋_GB2312" w:hAnsi="Times New Roman" w:cs="Times New Roman" w:hint="eastAsia"/>
                <w:color w:val="000000"/>
                <w:kern w:val="0"/>
                <w:sz w:val="22"/>
                <w:szCs w:val="22"/>
              </w:rPr>
              <w:t>加强医疗器械生产质量管理体系建设，健全质量管理制度；</w:t>
            </w:r>
            <w:r w:rsidRPr="00FA361B">
              <w:rPr>
                <w:rFonts w:ascii="Times New Roman" w:eastAsia="仿宋_GB2312" w:hAnsi="Times New Roman" w:cs="Times New Roman"/>
                <w:color w:val="000000"/>
                <w:kern w:val="0"/>
                <w:sz w:val="22"/>
                <w:szCs w:val="22"/>
              </w:rPr>
              <w:t>2.</w:t>
            </w:r>
            <w:r w:rsidRPr="00FA361B">
              <w:rPr>
                <w:rFonts w:ascii="Times New Roman" w:eastAsia="仿宋_GB2312" w:hAnsi="Times New Roman" w:cs="Times New Roman" w:hint="eastAsia"/>
                <w:color w:val="000000"/>
                <w:kern w:val="0"/>
                <w:sz w:val="22"/>
                <w:szCs w:val="22"/>
              </w:rPr>
              <w:t>加强供应商审计，对所有原材料供应商进行了重新评审、确认，已解除与不合格产品原料供应商的供货合同，更换为能提供原料胀破强度等项目检验报告的生产厂家，并签订《供货合同》和《质量保证协议》；</w:t>
            </w:r>
            <w:r w:rsidRPr="00FA361B">
              <w:rPr>
                <w:rFonts w:ascii="Times New Roman" w:eastAsia="仿宋_GB2312" w:hAnsi="Times New Roman" w:cs="Times New Roman"/>
                <w:color w:val="000000"/>
                <w:kern w:val="0"/>
                <w:sz w:val="22"/>
                <w:szCs w:val="22"/>
              </w:rPr>
              <w:t>3.</w:t>
            </w:r>
            <w:r w:rsidRPr="00FA361B">
              <w:rPr>
                <w:rFonts w:ascii="Times New Roman" w:eastAsia="仿宋_GB2312" w:hAnsi="Times New Roman" w:cs="Times New Roman" w:hint="eastAsia"/>
                <w:color w:val="000000"/>
                <w:kern w:val="0"/>
                <w:sz w:val="22"/>
                <w:szCs w:val="22"/>
              </w:rPr>
              <w:t>严把原材料入库验收关，增加拉力器用于原材料的入库检验，严格验证每批次采购原材料的生产资质、送货单，按照规定索取同批次原料检验报告书；</w:t>
            </w:r>
            <w:r w:rsidRPr="00FA361B">
              <w:rPr>
                <w:rFonts w:ascii="Times New Roman" w:eastAsia="仿宋_GB2312" w:hAnsi="Times New Roman" w:cs="Times New Roman"/>
                <w:color w:val="000000"/>
                <w:kern w:val="0"/>
                <w:sz w:val="22"/>
                <w:szCs w:val="22"/>
              </w:rPr>
              <w:t>4.</w:t>
            </w:r>
            <w:r w:rsidRPr="00FA361B">
              <w:rPr>
                <w:rFonts w:ascii="Times New Roman" w:eastAsia="仿宋_GB2312" w:hAnsi="Times New Roman" w:cs="Times New Roman" w:hint="eastAsia"/>
                <w:color w:val="000000"/>
                <w:kern w:val="0"/>
                <w:sz w:val="22"/>
                <w:szCs w:val="22"/>
              </w:rPr>
              <w:t>加强原材料投料检查，逐一验明原材料质量状况；</w:t>
            </w:r>
            <w:r w:rsidRPr="00FA361B">
              <w:rPr>
                <w:rFonts w:ascii="Times New Roman" w:eastAsia="仿宋_GB2312" w:hAnsi="Times New Roman" w:cs="Times New Roman"/>
                <w:color w:val="000000"/>
                <w:kern w:val="0"/>
                <w:sz w:val="22"/>
                <w:szCs w:val="22"/>
              </w:rPr>
              <w:t>5.</w:t>
            </w:r>
            <w:r w:rsidRPr="00FA361B">
              <w:rPr>
                <w:rFonts w:ascii="Times New Roman" w:eastAsia="仿宋_GB2312" w:hAnsi="Times New Roman" w:cs="Times New Roman" w:hint="eastAsia"/>
                <w:color w:val="000000"/>
                <w:kern w:val="0"/>
                <w:sz w:val="22"/>
                <w:szCs w:val="22"/>
              </w:rPr>
              <w:t>提升产品质量检测能力，邀请专家指导检验人员规范操作，完善检验设备；</w:t>
            </w:r>
            <w:r w:rsidRPr="00FA361B">
              <w:rPr>
                <w:rFonts w:ascii="Times New Roman" w:eastAsia="仿宋_GB2312" w:hAnsi="Times New Roman" w:cs="Times New Roman"/>
                <w:color w:val="000000"/>
                <w:kern w:val="0"/>
                <w:sz w:val="22"/>
                <w:szCs w:val="22"/>
              </w:rPr>
              <w:t>6</w:t>
            </w:r>
            <w:r w:rsidRPr="00FA361B">
              <w:rPr>
                <w:rFonts w:ascii="Times New Roman" w:eastAsia="仿宋_GB2312" w:hAnsi="Times New Roman" w:cs="Times New Roman" w:hint="eastAsia"/>
                <w:color w:val="000000"/>
                <w:kern w:val="0"/>
                <w:sz w:val="22"/>
                <w:szCs w:val="22"/>
              </w:rPr>
              <w:t>提升从业人员素质，加强法律法规培训。</w:t>
            </w:r>
          </w:p>
        </w:tc>
      </w:tr>
    </w:tbl>
    <w:p w:rsidR="00082ABE" w:rsidRPr="00FA361B" w:rsidRDefault="00082ABE" w:rsidP="00954BE3">
      <w:pPr>
        <w:spacing w:line="300" w:lineRule="exact"/>
        <w:rPr>
          <w:rFonts w:ascii="Times New Roman" w:eastAsia="仿宋_GB2312" w:hAnsi="Times New Roman" w:cs="Times New Roman"/>
          <w:sz w:val="32"/>
          <w:szCs w:val="32"/>
        </w:rPr>
      </w:pPr>
    </w:p>
    <w:p w:rsidR="00082ABE" w:rsidRPr="00FA361B" w:rsidRDefault="00082ABE" w:rsidP="00954BE3">
      <w:pPr>
        <w:spacing w:line="620" w:lineRule="exact"/>
        <w:jc w:val="center"/>
        <w:rPr>
          <w:rFonts w:ascii="Times New Roman" w:hAnsi="Times New Roman" w:cs="Times New Roman"/>
          <w:shd w:val="clear" w:color="auto" w:fill="FFFFFF"/>
        </w:rPr>
      </w:pPr>
    </w:p>
    <w:sectPr w:rsidR="00082ABE" w:rsidRPr="00FA361B" w:rsidSect="00954BE3">
      <w:footerReference w:type="even" r:id="rId7"/>
      <w:footerReference w:type="default" r:id="rId8"/>
      <w:footerReference w:type="first" r:id="rId9"/>
      <w:pgSz w:w="16838" w:h="11906" w:orient="landscape"/>
      <w:pgMar w:top="1531" w:right="1701" w:bottom="1531" w:left="170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ABE" w:rsidRDefault="00082ABE" w:rsidP="00535A5B">
      <w:pPr>
        <w:widowControl w:val="0"/>
        <w:rPr>
          <w:rFonts w:ascii="Calibri" w:hAnsi="Calibri" w:cs="Times New Roman"/>
          <w:szCs w:val="22"/>
        </w:rPr>
      </w:pPr>
      <w:r>
        <w:rPr>
          <w:rFonts w:ascii="Calibri" w:hAnsi="Calibri" w:cs="Times New Roman"/>
          <w:szCs w:val="22"/>
        </w:rPr>
        <w:separator/>
      </w:r>
    </w:p>
  </w:endnote>
  <w:endnote w:type="continuationSeparator" w:id="0">
    <w:p w:rsidR="00082ABE" w:rsidRDefault="00082ABE" w:rsidP="00535A5B">
      <w:pPr>
        <w:widowControl w:val="0"/>
        <w:rPr>
          <w:rFonts w:ascii="Calibri" w:hAnsi="Calibri" w:cs="Times New Roman"/>
          <w:szCs w:val="22"/>
        </w:rPr>
      </w:pPr>
      <w:r>
        <w:rPr>
          <w:rFonts w:ascii="Calibri" w:hAnsi="Calibri" w:cs="Times New Roman"/>
          <w:szCs w:val="22"/>
        </w:rP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ABE" w:rsidRDefault="00082ABE" w:rsidP="00DD3FC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82ABE" w:rsidRDefault="00082ABE" w:rsidP="0082198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ABE" w:rsidRPr="00821989" w:rsidRDefault="00082ABE" w:rsidP="00DD3FC1">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821989">
      <w:rPr>
        <w:rStyle w:val="PageNumber"/>
        <w:rFonts w:ascii="宋体" w:hAnsi="宋体"/>
        <w:sz w:val="28"/>
        <w:szCs w:val="28"/>
      </w:rPr>
      <w:fldChar w:fldCharType="begin"/>
    </w:r>
    <w:r w:rsidRPr="00821989">
      <w:rPr>
        <w:rStyle w:val="PageNumber"/>
        <w:rFonts w:ascii="宋体" w:hAnsi="宋体"/>
        <w:sz w:val="28"/>
        <w:szCs w:val="28"/>
      </w:rPr>
      <w:instrText xml:space="preserve">PAGE  </w:instrText>
    </w:r>
    <w:r w:rsidRPr="00821989">
      <w:rPr>
        <w:rStyle w:val="PageNumber"/>
        <w:rFonts w:ascii="宋体" w:hAnsi="宋体"/>
        <w:sz w:val="28"/>
        <w:szCs w:val="28"/>
      </w:rPr>
      <w:fldChar w:fldCharType="separate"/>
    </w:r>
    <w:r>
      <w:rPr>
        <w:rStyle w:val="PageNumber"/>
        <w:rFonts w:ascii="宋体" w:hAnsi="宋体"/>
        <w:noProof/>
        <w:sz w:val="28"/>
        <w:szCs w:val="28"/>
      </w:rPr>
      <w:t>2</w:t>
    </w:r>
    <w:r w:rsidRPr="00821989">
      <w:rPr>
        <w:rStyle w:val="PageNumber"/>
        <w:rFonts w:ascii="宋体" w:hAnsi="宋体"/>
        <w:sz w:val="28"/>
        <w:szCs w:val="28"/>
      </w:rPr>
      <w:fldChar w:fldCharType="end"/>
    </w:r>
    <w:r>
      <w:rPr>
        <w:rStyle w:val="PageNumber"/>
        <w:rFonts w:ascii="宋体" w:hAnsi="宋体"/>
        <w:sz w:val="28"/>
        <w:szCs w:val="28"/>
      </w:rPr>
      <w:t xml:space="preserve"> —</w:t>
    </w:r>
  </w:p>
  <w:p w:rsidR="00082ABE" w:rsidRDefault="00082ABE">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next-textbox:#_x0000_s2049;mso-fit-shape-to-text:t" inset="0,0,0,0">
            <w:txbxContent>
              <w:p w:rsidR="00082ABE" w:rsidRPr="00821989" w:rsidRDefault="00082ABE" w:rsidP="00821989">
                <w:pPr>
                  <w:widowControl w:val="0"/>
                  <w:rPr>
                    <w:rFonts w:ascii="Calibri" w:hAnsi="Calibri" w:cs="Times New Roman"/>
                    <w:szCs w:val="2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ABE" w:rsidRDefault="00082ABE">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v:textbox style="mso-next-textbox:#_x0000_s2050;mso-fit-shape-to-text:t" inset="0,0,0,0">
            <w:txbxContent>
              <w:p w:rsidR="00082ABE" w:rsidRPr="00821989" w:rsidRDefault="00082ABE" w:rsidP="00821989">
                <w:pPr>
                  <w:widowControl w:val="0"/>
                  <w:rPr>
                    <w:rFonts w:ascii="Calibri" w:hAnsi="Calibri" w:cs="Times New Roman"/>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ABE" w:rsidRDefault="00082ABE" w:rsidP="00535A5B">
      <w:pPr>
        <w:widowControl w:val="0"/>
        <w:rPr>
          <w:rFonts w:ascii="Calibri" w:hAnsi="Calibri" w:cs="Times New Roman"/>
          <w:szCs w:val="22"/>
        </w:rPr>
      </w:pPr>
      <w:r>
        <w:rPr>
          <w:rFonts w:ascii="Calibri" w:hAnsi="Calibri" w:cs="Times New Roman"/>
          <w:szCs w:val="22"/>
        </w:rPr>
        <w:separator/>
      </w:r>
    </w:p>
  </w:footnote>
  <w:footnote w:type="continuationSeparator" w:id="0">
    <w:p w:rsidR="00082ABE" w:rsidRDefault="00082ABE" w:rsidP="00535A5B">
      <w:pPr>
        <w:widowControl w:val="0"/>
        <w:rPr>
          <w:rFonts w:ascii="Calibri" w:hAnsi="Calibri" w:cs="Times New Roman"/>
          <w:szCs w:val="22"/>
        </w:rPr>
      </w:pPr>
      <w:r>
        <w:rPr>
          <w:rFonts w:ascii="Calibri" w:hAnsi="Calibri" w:cs="Times New Roman"/>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C5BF"/>
    <w:multiLevelType w:val="singleLevel"/>
    <w:tmpl w:val="5C1E4A90"/>
    <w:lvl w:ilvl="0">
      <w:start w:val="1"/>
      <w:numFmt w:val="chineseCounting"/>
      <w:suff w:val="space"/>
      <w:lvlText w:val="第%1条"/>
      <w:lvlJc w:val="left"/>
      <w:rPr>
        <w:rFonts w:ascii="楷体_GB2312" w:eastAsia="楷体_GB2312" w:cs="Times New Roman" w:hint="eastAsia"/>
      </w:rPr>
    </w:lvl>
  </w:abstractNum>
  <w:abstractNum w:abstractNumId="1">
    <w:nsid w:val="591AE552"/>
    <w:multiLevelType w:val="singleLevel"/>
    <w:tmpl w:val="591AE552"/>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042"/>
    <w:rsid w:val="00001441"/>
    <w:rsid w:val="00002657"/>
    <w:rsid w:val="00006D8C"/>
    <w:rsid w:val="0001516A"/>
    <w:rsid w:val="00032742"/>
    <w:rsid w:val="00032B57"/>
    <w:rsid w:val="00034152"/>
    <w:rsid w:val="00042497"/>
    <w:rsid w:val="00042732"/>
    <w:rsid w:val="000473DF"/>
    <w:rsid w:val="000544F7"/>
    <w:rsid w:val="000556B4"/>
    <w:rsid w:val="00060ECE"/>
    <w:rsid w:val="00066516"/>
    <w:rsid w:val="00072001"/>
    <w:rsid w:val="00082ABE"/>
    <w:rsid w:val="00090C50"/>
    <w:rsid w:val="00094E43"/>
    <w:rsid w:val="00096A87"/>
    <w:rsid w:val="000A42FC"/>
    <w:rsid w:val="000A49CA"/>
    <w:rsid w:val="000A72FB"/>
    <w:rsid w:val="000A7CC6"/>
    <w:rsid w:val="000B1681"/>
    <w:rsid w:val="000B6029"/>
    <w:rsid w:val="000C0A2F"/>
    <w:rsid w:val="000C2B80"/>
    <w:rsid w:val="000C789E"/>
    <w:rsid w:val="000D0A8B"/>
    <w:rsid w:val="000D4AB2"/>
    <w:rsid w:val="000D7716"/>
    <w:rsid w:val="000D774B"/>
    <w:rsid w:val="000E3CB7"/>
    <w:rsid w:val="000E51AD"/>
    <w:rsid w:val="000F1AFD"/>
    <w:rsid w:val="000F1B1A"/>
    <w:rsid w:val="000F2CCD"/>
    <w:rsid w:val="000F7EFE"/>
    <w:rsid w:val="001106E8"/>
    <w:rsid w:val="00113FD6"/>
    <w:rsid w:val="001149EB"/>
    <w:rsid w:val="00122943"/>
    <w:rsid w:val="00124C71"/>
    <w:rsid w:val="00136188"/>
    <w:rsid w:val="0013689D"/>
    <w:rsid w:val="00140FAE"/>
    <w:rsid w:val="00144CD1"/>
    <w:rsid w:val="00152F25"/>
    <w:rsid w:val="00154F31"/>
    <w:rsid w:val="001664DB"/>
    <w:rsid w:val="00194F38"/>
    <w:rsid w:val="00197FCE"/>
    <w:rsid w:val="001A040B"/>
    <w:rsid w:val="001A0EF3"/>
    <w:rsid w:val="001A5186"/>
    <w:rsid w:val="001B3053"/>
    <w:rsid w:val="001B55C1"/>
    <w:rsid w:val="001C008B"/>
    <w:rsid w:val="001D0950"/>
    <w:rsid w:val="001D4C74"/>
    <w:rsid w:val="001D6234"/>
    <w:rsid w:val="001E31A9"/>
    <w:rsid w:val="001E6B4A"/>
    <w:rsid w:val="001F1A7A"/>
    <w:rsid w:val="001F3012"/>
    <w:rsid w:val="00201318"/>
    <w:rsid w:val="00205E9A"/>
    <w:rsid w:val="002066EE"/>
    <w:rsid w:val="00212D39"/>
    <w:rsid w:val="002152EB"/>
    <w:rsid w:val="00216F71"/>
    <w:rsid w:val="0022430E"/>
    <w:rsid w:val="002256EC"/>
    <w:rsid w:val="00225DD9"/>
    <w:rsid w:val="0022620E"/>
    <w:rsid w:val="00233DAA"/>
    <w:rsid w:val="002366AD"/>
    <w:rsid w:val="00241876"/>
    <w:rsid w:val="00244384"/>
    <w:rsid w:val="00255EF9"/>
    <w:rsid w:val="002576E1"/>
    <w:rsid w:val="00257F44"/>
    <w:rsid w:val="002619EF"/>
    <w:rsid w:val="00266300"/>
    <w:rsid w:val="00277207"/>
    <w:rsid w:val="00282EF4"/>
    <w:rsid w:val="002832FF"/>
    <w:rsid w:val="00283D43"/>
    <w:rsid w:val="00292274"/>
    <w:rsid w:val="002A338E"/>
    <w:rsid w:val="002A7920"/>
    <w:rsid w:val="002B0BB1"/>
    <w:rsid w:val="002B194E"/>
    <w:rsid w:val="002B1A13"/>
    <w:rsid w:val="002B3D06"/>
    <w:rsid w:val="002E0014"/>
    <w:rsid w:val="002E3D4B"/>
    <w:rsid w:val="002E6146"/>
    <w:rsid w:val="002E7FF1"/>
    <w:rsid w:val="002F5313"/>
    <w:rsid w:val="002F6807"/>
    <w:rsid w:val="003168FC"/>
    <w:rsid w:val="00326F4C"/>
    <w:rsid w:val="00327D11"/>
    <w:rsid w:val="0033192B"/>
    <w:rsid w:val="0033510A"/>
    <w:rsid w:val="00344D39"/>
    <w:rsid w:val="00352C4C"/>
    <w:rsid w:val="0035474A"/>
    <w:rsid w:val="00354923"/>
    <w:rsid w:val="00361F07"/>
    <w:rsid w:val="00364E6D"/>
    <w:rsid w:val="00370B3F"/>
    <w:rsid w:val="0037117F"/>
    <w:rsid w:val="00372A9F"/>
    <w:rsid w:val="0038106E"/>
    <w:rsid w:val="003907FF"/>
    <w:rsid w:val="00390CAD"/>
    <w:rsid w:val="003932B2"/>
    <w:rsid w:val="00393423"/>
    <w:rsid w:val="003944A0"/>
    <w:rsid w:val="00396BB8"/>
    <w:rsid w:val="003A2841"/>
    <w:rsid w:val="003A2E89"/>
    <w:rsid w:val="003A5C59"/>
    <w:rsid w:val="003B3624"/>
    <w:rsid w:val="003B61C4"/>
    <w:rsid w:val="003B79F0"/>
    <w:rsid w:val="003C02A5"/>
    <w:rsid w:val="003C406D"/>
    <w:rsid w:val="003D0681"/>
    <w:rsid w:val="003D20B9"/>
    <w:rsid w:val="003D31FE"/>
    <w:rsid w:val="003D71AB"/>
    <w:rsid w:val="003E794F"/>
    <w:rsid w:val="003F14D0"/>
    <w:rsid w:val="003F6CAE"/>
    <w:rsid w:val="00413AC4"/>
    <w:rsid w:val="00413BE8"/>
    <w:rsid w:val="00422EF5"/>
    <w:rsid w:val="0042524D"/>
    <w:rsid w:val="00426E5A"/>
    <w:rsid w:val="00431780"/>
    <w:rsid w:val="00446837"/>
    <w:rsid w:val="00451743"/>
    <w:rsid w:val="00454784"/>
    <w:rsid w:val="00460AA6"/>
    <w:rsid w:val="004743EA"/>
    <w:rsid w:val="00476ED7"/>
    <w:rsid w:val="00477CB4"/>
    <w:rsid w:val="00485681"/>
    <w:rsid w:val="00486C37"/>
    <w:rsid w:val="00486F32"/>
    <w:rsid w:val="00492A04"/>
    <w:rsid w:val="00497B58"/>
    <w:rsid w:val="004A1CDC"/>
    <w:rsid w:val="004A2F26"/>
    <w:rsid w:val="004A4199"/>
    <w:rsid w:val="004A7EE2"/>
    <w:rsid w:val="004B1E36"/>
    <w:rsid w:val="004B20A3"/>
    <w:rsid w:val="004B4BA8"/>
    <w:rsid w:val="004B6953"/>
    <w:rsid w:val="004B77C6"/>
    <w:rsid w:val="004C06D6"/>
    <w:rsid w:val="004C2ABA"/>
    <w:rsid w:val="004C4263"/>
    <w:rsid w:val="004C614C"/>
    <w:rsid w:val="004E09CD"/>
    <w:rsid w:val="004E116D"/>
    <w:rsid w:val="004F01BA"/>
    <w:rsid w:val="004F4796"/>
    <w:rsid w:val="004F69BF"/>
    <w:rsid w:val="00514E84"/>
    <w:rsid w:val="005208C2"/>
    <w:rsid w:val="00522D06"/>
    <w:rsid w:val="00523B29"/>
    <w:rsid w:val="00531CAF"/>
    <w:rsid w:val="00532726"/>
    <w:rsid w:val="00535A5B"/>
    <w:rsid w:val="00554FEB"/>
    <w:rsid w:val="00560A92"/>
    <w:rsid w:val="00560DBB"/>
    <w:rsid w:val="0056243A"/>
    <w:rsid w:val="00564E61"/>
    <w:rsid w:val="00566E4E"/>
    <w:rsid w:val="00570C45"/>
    <w:rsid w:val="00572820"/>
    <w:rsid w:val="00573712"/>
    <w:rsid w:val="00576AEA"/>
    <w:rsid w:val="005779C9"/>
    <w:rsid w:val="00586366"/>
    <w:rsid w:val="00593023"/>
    <w:rsid w:val="00597AD3"/>
    <w:rsid w:val="005A019E"/>
    <w:rsid w:val="005A20C0"/>
    <w:rsid w:val="005A4127"/>
    <w:rsid w:val="005C4707"/>
    <w:rsid w:val="005C6FB4"/>
    <w:rsid w:val="005D6597"/>
    <w:rsid w:val="005D73AE"/>
    <w:rsid w:val="005E3617"/>
    <w:rsid w:val="005F095A"/>
    <w:rsid w:val="005F321C"/>
    <w:rsid w:val="005F3386"/>
    <w:rsid w:val="005F3E11"/>
    <w:rsid w:val="00604CCA"/>
    <w:rsid w:val="00605C9C"/>
    <w:rsid w:val="00610C36"/>
    <w:rsid w:val="00614B71"/>
    <w:rsid w:val="00615108"/>
    <w:rsid w:val="006168A3"/>
    <w:rsid w:val="006317B0"/>
    <w:rsid w:val="00635138"/>
    <w:rsid w:val="00660243"/>
    <w:rsid w:val="0066795C"/>
    <w:rsid w:val="00670C59"/>
    <w:rsid w:val="00672B95"/>
    <w:rsid w:val="0067628A"/>
    <w:rsid w:val="00685C92"/>
    <w:rsid w:val="0068621E"/>
    <w:rsid w:val="006914AF"/>
    <w:rsid w:val="00693D25"/>
    <w:rsid w:val="006A101B"/>
    <w:rsid w:val="006A2D29"/>
    <w:rsid w:val="006A6FE0"/>
    <w:rsid w:val="006B3C07"/>
    <w:rsid w:val="006B6C04"/>
    <w:rsid w:val="006C020D"/>
    <w:rsid w:val="006C2EF5"/>
    <w:rsid w:val="006C4306"/>
    <w:rsid w:val="006C4649"/>
    <w:rsid w:val="006C4799"/>
    <w:rsid w:val="006C50D2"/>
    <w:rsid w:val="006D37F0"/>
    <w:rsid w:val="006E1CF8"/>
    <w:rsid w:val="006E375F"/>
    <w:rsid w:val="006E378D"/>
    <w:rsid w:val="006E729B"/>
    <w:rsid w:val="006F1B40"/>
    <w:rsid w:val="006F1EB0"/>
    <w:rsid w:val="006F4DEC"/>
    <w:rsid w:val="006F5398"/>
    <w:rsid w:val="006F7312"/>
    <w:rsid w:val="00701F38"/>
    <w:rsid w:val="00702645"/>
    <w:rsid w:val="00705C53"/>
    <w:rsid w:val="00706D8D"/>
    <w:rsid w:val="00730671"/>
    <w:rsid w:val="00730DD8"/>
    <w:rsid w:val="00733B78"/>
    <w:rsid w:val="00745425"/>
    <w:rsid w:val="00745720"/>
    <w:rsid w:val="0074710A"/>
    <w:rsid w:val="007511D8"/>
    <w:rsid w:val="00752F06"/>
    <w:rsid w:val="00752FE8"/>
    <w:rsid w:val="007602E4"/>
    <w:rsid w:val="00767A6D"/>
    <w:rsid w:val="00770DC7"/>
    <w:rsid w:val="00776321"/>
    <w:rsid w:val="007833C2"/>
    <w:rsid w:val="0078593A"/>
    <w:rsid w:val="0079420B"/>
    <w:rsid w:val="00794369"/>
    <w:rsid w:val="00796050"/>
    <w:rsid w:val="00797C4F"/>
    <w:rsid w:val="007A3518"/>
    <w:rsid w:val="007B01EE"/>
    <w:rsid w:val="007C0D74"/>
    <w:rsid w:val="007C1FD7"/>
    <w:rsid w:val="007C4463"/>
    <w:rsid w:val="007C456B"/>
    <w:rsid w:val="007E4670"/>
    <w:rsid w:val="007E5B16"/>
    <w:rsid w:val="007E5B67"/>
    <w:rsid w:val="007F0868"/>
    <w:rsid w:val="007F1A5F"/>
    <w:rsid w:val="007F3D6E"/>
    <w:rsid w:val="008056BE"/>
    <w:rsid w:val="00805AF1"/>
    <w:rsid w:val="00807DE0"/>
    <w:rsid w:val="0081507B"/>
    <w:rsid w:val="00821989"/>
    <w:rsid w:val="00823F69"/>
    <w:rsid w:val="008252E9"/>
    <w:rsid w:val="008254EF"/>
    <w:rsid w:val="008373B2"/>
    <w:rsid w:val="00841FF9"/>
    <w:rsid w:val="00842F2B"/>
    <w:rsid w:val="00853CC3"/>
    <w:rsid w:val="008540CF"/>
    <w:rsid w:val="008558CA"/>
    <w:rsid w:val="008563FF"/>
    <w:rsid w:val="00857089"/>
    <w:rsid w:val="008572F5"/>
    <w:rsid w:val="00870602"/>
    <w:rsid w:val="00872187"/>
    <w:rsid w:val="00872883"/>
    <w:rsid w:val="00873427"/>
    <w:rsid w:val="00875EE0"/>
    <w:rsid w:val="00876EA7"/>
    <w:rsid w:val="0088197A"/>
    <w:rsid w:val="00891F3C"/>
    <w:rsid w:val="00893251"/>
    <w:rsid w:val="00893FAB"/>
    <w:rsid w:val="00895196"/>
    <w:rsid w:val="00895902"/>
    <w:rsid w:val="008A1423"/>
    <w:rsid w:val="008A4941"/>
    <w:rsid w:val="008A4B0C"/>
    <w:rsid w:val="008A5B89"/>
    <w:rsid w:val="008A75B5"/>
    <w:rsid w:val="008B6131"/>
    <w:rsid w:val="008C12C5"/>
    <w:rsid w:val="008C3C2C"/>
    <w:rsid w:val="008C5F04"/>
    <w:rsid w:val="008D013D"/>
    <w:rsid w:val="008D700B"/>
    <w:rsid w:val="008E1076"/>
    <w:rsid w:val="008E41B3"/>
    <w:rsid w:val="008F13ED"/>
    <w:rsid w:val="008F16D7"/>
    <w:rsid w:val="008F6F70"/>
    <w:rsid w:val="008F72F7"/>
    <w:rsid w:val="00900AA2"/>
    <w:rsid w:val="0090346B"/>
    <w:rsid w:val="00905488"/>
    <w:rsid w:val="009144E5"/>
    <w:rsid w:val="00916284"/>
    <w:rsid w:val="00917E93"/>
    <w:rsid w:val="00927979"/>
    <w:rsid w:val="00931F29"/>
    <w:rsid w:val="009359A4"/>
    <w:rsid w:val="00942362"/>
    <w:rsid w:val="00945971"/>
    <w:rsid w:val="00954BE3"/>
    <w:rsid w:val="00955CBA"/>
    <w:rsid w:val="009610BA"/>
    <w:rsid w:val="00966152"/>
    <w:rsid w:val="00966C33"/>
    <w:rsid w:val="009678DE"/>
    <w:rsid w:val="00971942"/>
    <w:rsid w:val="009842B8"/>
    <w:rsid w:val="00990B07"/>
    <w:rsid w:val="009B1D9C"/>
    <w:rsid w:val="009B5206"/>
    <w:rsid w:val="009B593B"/>
    <w:rsid w:val="009B7366"/>
    <w:rsid w:val="009C6E2C"/>
    <w:rsid w:val="009D19C0"/>
    <w:rsid w:val="009D6F5E"/>
    <w:rsid w:val="009D7F23"/>
    <w:rsid w:val="009E22C7"/>
    <w:rsid w:val="009E6574"/>
    <w:rsid w:val="009F0C4E"/>
    <w:rsid w:val="009F3EB0"/>
    <w:rsid w:val="009F67F1"/>
    <w:rsid w:val="00A01ED1"/>
    <w:rsid w:val="00A03CA1"/>
    <w:rsid w:val="00A04E83"/>
    <w:rsid w:val="00A071FC"/>
    <w:rsid w:val="00A15799"/>
    <w:rsid w:val="00A24945"/>
    <w:rsid w:val="00A24B12"/>
    <w:rsid w:val="00A302CB"/>
    <w:rsid w:val="00A433B3"/>
    <w:rsid w:val="00A43FE2"/>
    <w:rsid w:val="00A47819"/>
    <w:rsid w:val="00A47A0B"/>
    <w:rsid w:val="00A55ACC"/>
    <w:rsid w:val="00A62015"/>
    <w:rsid w:val="00A62BF7"/>
    <w:rsid w:val="00A678F6"/>
    <w:rsid w:val="00A75E5D"/>
    <w:rsid w:val="00A760A6"/>
    <w:rsid w:val="00A849D5"/>
    <w:rsid w:val="00A9000B"/>
    <w:rsid w:val="00A92935"/>
    <w:rsid w:val="00A96291"/>
    <w:rsid w:val="00A97227"/>
    <w:rsid w:val="00AA469B"/>
    <w:rsid w:val="00AB1DA3"/>
    <w:rsid w:val="00AB2CAB"/>
    <w:rsid w:val="00AB2E91"/>
    <w:rsid w:val="00AB574A"/>
    <w:rsid w:val="00AC0336"/>
    <w:rsid w:val="00AC188F"/>
    <w:rsid w:val="00AC7988"/>
    <w:rsid w:val="00AD0FC2"/>
    <w:rsid w:val="00AE184E"/>
    <w:rsid w:val="00AE1F91"/>
    <w:rsid w:val="00AE4751"/>
    <w:rsid w:val="00AF3CE1"/>
    <w:rsid w:val="00AF3FD3"/>
    <w:rsid w:val="00B007BF"/>
    <w:rsid w:val="00B03DD6"/>
    <w:rsid w:val="00B06EF5"/>
    <w:rsid w:val="00B122D4"/>
    <w:rsid w:val="00B12EFD"/>
    <w:rsid w:val="00B144CF"/>
    <w:rsid w:val="00B14D53"/>
    <w:rsid w:val="00B155DC"/>
    <w:rsid w:val="00B20F96"/>
    <w:rsid w:val="00B264AA"/>
    <w:rsid w:val="00B329BF"/>
    <w:rsid w:val="00B353E6"/>
    <w:rsid w:val="00B40FEB"/>
    <w:rsid w:val="00B43407"/>
    <w:rsid w:val="00B45BA2"/>
    <w:rsid w:val="00B527E7"/>
    <w:rsid w:val="00B61977"/>
    <w:rsid w:val="00B61B60"/>
    <w:rsid w:val="00B6372A"/>
    <w:rsid w:val="00B67C9B"/>
    <w:rsid w:val="00B73FF5"/>
    <w:rsid w:val="00B8174B"/>
    <w:rsid w:val="00B82FC6"/>
    <w:rsid w:val="00B94360"/>
    <w:rsid w:val="00BA677A"/>
    <w:rsid w:val="00BB18C0"/>
    <w:rsid w:val="00BC075E"/>
    <w:rsid w:val="00BC590A"/>
    <w:rsid w:val="00BD177B"/>
    <w:rsid w:val="00BD282B"/>
    <w:rsid w:val="00BD6FA5"/>
    <w:rsid w:val="00BE1E13"/>
    <w:rsid w:val="00BE23ED"/>
    <w:rsid w:val="00BE3213"/>
    <w:rsid w:val="00BE35B0"/>
    <w:rsid w:val="00BE4C0A"/>
    <w:rsid w:val="00BE5919"/>
    <w:rsid w:val="00BE7D77"/>
    <w:rsid w:val="00BF3B0E"/>
    <w:rsid w:val="00BF72DD"/>
    <w:rsid w:val="00BF7C17"/>
    <w:rsid w:val="00C117F4"/>
    <w:rsid w:val="00C16158"/>
    <w:rsid w:val="00C16B81"/>
    <w:rsid w:val="00C2210E"/>
    <w:rsid w:val="00C24096"/>
    <w:rsid w:val="00C25842"/>
    <w:rsid w:val="00C35C82"/>
    <w:rsid w:val="00C3791D"/>
    <w:rsid w:val="00C47137"/>
    <w:rsid w:val="00C51E6E"/>
    <w:rsid w:val="00C52F5C"/>
    <w:rsid w:val="00C55DD2"/>
    <w:rsid w:val="00C726B2"/>
    <w:rsid w:val="00C769D2"/>
    <w:rsid w:val="00C76BCE"/>
    <w:rsid w:val="00C775A0"/>
    <w:rsid w:val="00C95156"/>
    <w:rsid w:val="00C954A5"/>
    <w:rsid w:val="00CA179D"/>
    <w:rsid w:val="00CA70E8"/>
    <w:rsid w:val="00CB2A7E"/>
    <w:rsid w:val="00CB5081"/>
    <w:rsid w:val="00CC20BF"/>
    <w:rsid w:val="00CC3E3C"/>
    <w:rsid w:val="00CD354F"/>
    <w:rsid w:val="00CD7554"/>
    <w:rsid w:val="00CE011C"/>
    <w:rsid w:val="00CE2B21"/>
    <w:rsid w:val="00CE2C7E"/>
    <w:rsid w:val="00CE3BFF"/>
    <w:rsid w:val="00CE4E7F"/>
    <w:rsid w:val="00CF2165"/>
    <w:rsid w:val="00CF700C"/>
    <w:rsid w:val="00D01364"/>
    <w:rsid w:val="00D21C62"/>
    <w:rsid w:val="00D2320C"/>
    <w:rsid w:val="00D23C52"/>
    <w:rsid w:val="00D2486B"/>
    <w:rsid w:val="00D3202E"/>
    <w:rsid w:val="00D42B9F"/>
    <w:rsid w:val="00D45098"/>
    <w:rsid w:val="00D45F4F"/>
    <w:rsid w:val="00D46048"/>
    <w:rsid w:val="00D52F35"/>
    <w:rsid w:val="00D549F2"/>
    <w:rsid w:val="00D5566E"/>
    <w:rsid w:val="00D5613E"/>
    <w:rsid w:val="00D56BFF"/>
    <w:rsid w:val="00D61658"/>
    <w:rsid w:val="00D631F9"/>
    <w:rsid w:val="00D64042"/>
    <w:rsid w:val="00D6519D"/>
    <w:rsid w:val="00D66AF7"/>
    <w:rsid w:val="00D74B80"/>
    <w:rsid w:val="00D8186E"/>
    <w:rsid w:val="00D82906"/>
    <w:rsid w:val="00D8316C"/>
    <w:rsid w:val="00D83B4D"/>
    <w:rsid w:val="00D848B0"/>
    <w:rsid w:val="00D87239"/>
    <w:rsid w:val="00D963BE"/>
    <w:rsid w:val="00DA6345"/>
    <w:rsid w:val="00DB020E"/>
    <w:rsid w:val="00DB4D84"/>
    <w:rsid w:val="00DC04F7"/>
    <w:rsid w:val="00DC104F"/>
    <w:rsid w:val="00DC7511"/>
    <w:rsid w:val="00DD3377"/>
    <w:rsid w:val="00DD3FC1"/>
    <w:rsid w:val="00DD5CCD"/>
    <w:rsid w:val="00DE5C63"/>
    <w:rsid w:val="00DE64A4"/>
    <w:rsid w:val="00DF01FA"/>
    <w:rsid w:val="00DF2909"/>
    <w:rsid w:val="00DF4613"/>
    <w:rsid w:val="00DF794E"/>
    <w:rsid w:val="00E003C8"/>
    <w:rsid w:val="00E025E0"/>
    <w:rsid w:val="00E036C0"/>
    <w:rsid w:val="00E07C29"/>
    <w:rsid w:val="00E238B9"/>
    <w:rsid w:val="00E23FB0"/>
    <w:rsid w:val="00E25925"/>
    <w:rsid w:val="00E2738C"/>
    <w:rsid w:val="00E353DE"/>
    <w:rsid w:val="00E4326D"/>
    <w:rsid w:val="00E45684"/>
    <w:rsid w:val="00E456E4"/>
    <w:rsid w:val="00E45A32"/>
    <w:rsid w:val="00E55791"/>
    <w:rsid w:val="00E6079E"/>
    <w:rsid w:val="00E635ED"/>
    <w:rsid w:val="00E741B1"/>
    <w:rsid w:val="00E812A9"/>
    <w:rsid w:val="00E920BD"/>
    <w:rsid w:val="00EA40DB"/>
    <w:rsid w:val="00EB5647"/>
    <w:rsid w:val="00EC7608"/>
    <w:rsid w:val="00ED1F75"/>
    <w:rsid w:val="00ED5CCD"/>
    <w:rsid w:val="00EE00CB"/>
    <w:rsid w:val="00EE01A4"/>
    <w:rsid w:val="00EE5C38"/>
    <w:rsid w:val="00EE6180"/>
    <w:rsid w:val="00EF1D6C"/>
    <w:rsid w:val="00F02AA6"/>
    <w:rsid w:val="00F05A90"/>
    <w:rsid w:val="00F06D77"/>
    <w:rsid w:val="00F07CC5"/>
    <w:rsid w:val="00F10EC0"/>
    <w:rsid w:val="00F11718"/>
    <w:rsid w:val="00F20F46"/>
    <w:rsid w:val="00F224E7"/>
    <w:rsid w:val="00F2362A"/>
    <w:rsid w:val="00F23A73"/>
    <w:rsid w:val="00F2459B"/>
    <w:rsid w:val="00F276CC"/>
    <w:rsid w:val="00F31EEC"/>
    <w:rsid w:val="00F34369"/>
    <w:rsid w:val="00F343CE"/>
    <w:rsid w:val="00F345B9"/>
    <w:rsid w:val="00F34EC0"/>
    <w:rsid w:val="00F3522E"/>
    <w:rsid w:val="00F40537"/>
    <w:rsid w:val="00F44E60"/>
    <w:rsid w:val="00F46035"/>
    <w:rsid w:val="00F554A1"/>
    <w:rsid w:val="00F605C8"/>
    <w:rsid w:val="00F60F1A"/>
    <w:rsid w:val="00F65FD9"/>
    <w:rsid w:val="00F72B9E"/>
    <w:rsid w:val="00F818E9"/>
    <w:rsid w:val="00F86275"/>
    <w:rsid w:val="00F869B9"/>
    <w:rsid w:val="00F90872"/>
    <w:rsid w:val="00F95E57"/>
    <w:rsid w:val="00F978C7"/>
    <w:rsid w:val="00FA2227"/>
    <w:rsid w:val="00FA2286"/>
    <w:rsid w:val="00FA2343"/>
    <w:rsid w:val="00FA263A"/>
    <w:rsid w:val="00FA314E"/>
    <w:rsid w:val="00FA361B"/>
    <w:rsid w:val="00FA3DD1"/>
    <w:rsid w:val="00FB5D1D"/>
    <w:rsid w:val="00FB5D96"/>
    <w:rsid w:val="00FC6CB6"/>
    <w:rsid w:val="00FD1B9A"/>
    <w:rsid w:val="00FE1615"/>
    <w:rsid w:val="00FE1745"/>
    <w:rsid w:val="00FE5BE0"/>
    <w:rsid w:val="00FF19EF"/>
    <w:rsid w:val="00FF31EE"/>
    <w:rsid w:val="00FF52A2"/>
    <w:rsid w:val="00FF56A5"/>
    <w:rsid w:val="14861FF0"/>
    <w:rsid w:val="1E576407"/>
    <w:rsid w:val="2E184248"/>
    <w:rsid w:val="42F630D2"/>
    <w:rsid w:val="4B6A6EED"/>
    <w:rsid w:val="68F84CDB"/>
    <w:rsid w:val="718716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423"/>
    <w:pPr>
      <w:jc w:val="both"/>
    </w:pPr>
    <w:rPr>
      <w:rFonts w:ascii="宋体" w:hAnsi="宋体" w:cs="宋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uiPriority w:val="99"/>
    <w:rsid w:val="00535A5B"/>
    <w:pPr>
      <w:widowControl w:val="0"/>
      <w:spacing w:line="400" w:lineRule="exact"/>
      <w:ind w:firstLine="540"/>
    </w:pPr>
    <w:rPr>
      <w:rFonts w:ascii="仿宋_GB2312" w:eastAsia="仿宋_GB2312" w:hAnsi="Times New Roman" w:cs="Times New Roman"/>
      <w:sz w:val="24"/>
      <w:szCs w:val="20"/>
    </w:rPr>
  </w:style>
  <w:style w:type="character" w:customStyle="1" w:styleId="BodyTextIndentChar">
    <w:name w:val="Body Text Indent Char"/>
    <w:basedOn w:val="DefaultParagraphFont"/>
    <w:link w:val="BodyTextIndent"/>
    <w:uiPriority w:val="99"/>
    <w:semiHidden/>
    <w:locked/>
    <w:rsid w:val="00535A5B"/>
    <w:rPr>
      <w:rFonts w:cs="Times New Roman"/>
    </w:rPr>
  </w:style>
  <w:style w:type="paragraph" w:styleId="Date">
    <w:name w:val="Date"/>
    <w:basedOn w:val="Normal"/>
    <w:next w:val="Normal"/>
    <w:link w:val="DateChar"/>
    <w:uiPriority w:val="99"/>
    <w:rsid w:val="00535A5B"/>
    <w:pPr>
      <w:widowControl w:val="0"/>
      <w:ind w:leftChars="2500" w:left="100"/>
    </w:pPr>
    <w:rPr>
      <w:rFonts w:ascii="Calibri" w:hAnsi="Calibri" w:cs="Times New Roman"/>
      <w:szCs w:val="22"/>
    </w:rPr>
  </w:style>
  <w:style w:type="character" w:customStyle="1" w:styleId="DateChar">
    <w:name w:val="Date Char"/>
    <w:basedOn w:val="DefaultParagraphFont"/>
    <w:link w:val="Date"/>
    <w:uiPriority w:val="99"/>
    <w:semiHidden/>
    <w:locked/>
    <w:rsid w:val="00535A5B"/>
    <w:rPr>
      <w:rFonts w:cs="Times New Roman"/>
    </w:rPr>
  </w:style>
  <w:style w:type="paragraph" w:styleId="Footer">
    <w:name w:val="footer"/>
    <w:basedOn w:val="Normal"/>
    <w:link w:val="FooterChar"/>
    <w:uiPriority w:val="99"/>
    <w:rsid w:val="00535A5B"/>
    <w:pPr>
      <w:widowControl w:val="0"/>
      <w:tabs>
        <w:tab w:val="center" w:pos="4153"/>
        <w:tab w:val="right" w:pos="8306"/>
      </w:tabs>
      <w:snapToGrid w:val="0"/>
      <w:jc w:val="left"/>
    </w:pPr>
    <w:rPr>
      <w:rFonts w:ascii="Calibri" w:hAnsi="Calibri" w:cs="Times New Roman"/>
      <w:sz w:val="18"/>
      <w:szCs w:val="18"/>
    </w:rPr>
  </w:style>
  <w:style w:type="character" w:customStyle="1" w:styleId="FooterChar">
    <w:name w:val="Footer Char"/>
    <w:basedOn w:val="DefaultParagraphFont"/>
    <w:link w:val="Footer"/>
    <w:uiPriority w:val="99"/>
    <w:semiHidden/>
    <w:locked/>
    <w:rsid w:val="00535A5B"/>
    <w:rPr>
      <w:rFonts w:cs="Times New Roman"/>
      <w:sz w:val="18"/>
      <w:szCs w:val="18"/>
    </w:rPr>
  </w:style>
  <w:style w:type="paragraph" w:styleId="Header">
    <w:name w:val="header"/>
    <w:basedOn w:val="Normal"/>
    <w:link w:val="HeaderChar"/>
    <w:uiPriority w:val="99"/>
    <w:rsid w:val="00535A5B"/>
    <w:pPr>
      <w:widowControl w:val="0"/>
      <w:pBdr>
        <w:bottom w:val="single" w:sz="6" w:space="1" w:color="auto"/>
      </w:pBdr>
      <w:tabs>
        <w:tab w:val="center" w:pos="4153"/>
        <w:tab w:val="right" w:pos="8306"/>
      </w:tabs>
      <w:snapToGrid w:val="0"/>
      <w:jc w:val="center"/>
    </w:pPr>
    <w:rPr>
      <w:rFonts w:ascii="Calibri" w:hAnsi="Calibri" w:cs="Times New Roman"/>
      <w:sz w:val="18"/>
      <w:szCs w:val="18"/>
    </w:rPr>
  </w:style>
  <w:style w:type="character" w:customStyle="1" w:styleId="HeaderChar">
    <w:name w:val="Header Char"/>
    <w:basedOn w:val="DefaultParagraphFont"/>
    <w:link w:val="Header"/>
    <w:uiPriority w:val="99"/>
    <w:semiHidden/>
    <w:locked/>
    <w:rsid w:val="00535A5B"/>
    <w:rPr>
      <w:rFonts w:cs="Times New Roman"/>
      <w:sz w:val="18"/>
      <w:szCs w:val="18"/>
    </w:rPr>
  </w:style>
  <w:style w:type="paragraph" w:styleId="Subtitle">
    <w:name w:val="Subtitle"/>
    <w:basedOn w:val="Normal"/>
    <w:next w:val="Normal"/>
    <w:link w:val="SubtitleChar1"/>
    <w:uiPriority w:val="99"/>
    <w:qFormat/>
    <w:locked/>
    <w:rsid w:val="00535A5B"/>
    <w:pPr>
      <w:widowControl w:val="0"/>
      <w:spacing w:before="240" w:after="60" w:line="312" w:lineRule="auto"/>
      <w:jc w:val="center"/>
      <w:outlineLvl w:val="1"/>
    </w:pPr>
    <w:rPr>
      <w:rFonts w:ascii="Cambria" w:hAnsi="Cambria" w:cs="Times New Roman"/>
      <w:b/>
      <w:bCs/>
      <w:kern w:val="28"/>
      <w:sz w:val="32"/>
      <w:szCs w:val="32"/>
    </w:rPr>
  </w:style>
  <w:style w:type="character" w:customStyle="1" w:styleId="SubtitleChar">
    <w:name w:val="Subtitle Char"/>
    <w:basedOn w:val="DefaultParagraphFont"/>
    <w:link w:val="Subtitle"/>
    <w:uiPriority w:val="99"/>
    <w:locked/>
    <w:rsid w:val="00535A5B"/>
    <w:rPr>
      <w:rFonts w:ascii="Cambria" w:hAnsi="Cambria" w:cs="Times New Roman"/>
      <w:b/>
      <w:bCs/>
      <w:kern w:val="28"/>
      <w:sz w:val="32"/>
      <w:szCs w:val="32"/>
    </w:rPr>
  </w:style>
  <w:style w:type="paragraph" w:styleId="NormalWeb">
    <w:name w:val="Normal (Web)"/>
    <w:basedOn w:val="Normal"/>
    <w:uiPriority w:val="99"/>
    <w:rsid w:val="00535A5B"/>
    <w:pPr>
      <w:widowControl w:val="0"/>
    </w:pPr>
    <w:rPr>
      <w:rFonts w:ascii="Times New Roman" w:hAnsi="Times New Roman" w:cs="Times New Roman"/>
      <w:sz w:val="24"/>
      <w:szCs w:val="24"/>
    </w:rPr>
  </w:style>
  <w:style w:type="character" w:styleId="PageNumber">
    <w:name w:val="page number"/>
    <w:basedOn w:val="DefaultParagraphFont"/>
    <w:uiPriority w:val="99"/>
    <w:rsid w:val="00535A5B"/>
    <w:rPr>
      <w:rFonts w:cs="Times New Roman"/>
    </w:rPr>
  </w:style>
  <w:style w:type="table" w:styleId="TableGrid">
    <w:name w:val="Table Grid"/>
    <w:basedOn w:val="TableNormal"/>
    <w:uiPriority w:val="99"/>
    <w:locked/>
    <w:rsid w:val="00535A5B"/>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1">
    <w:name w:val="Subtitle Char1"/>
    <w:basedOn w:val="DefaultParagraphFont"/>
    <w:link w:val="Subtitle"/>
    <w:uiPriority w:val="99"/>
    <w:locked/>
    <w:rsid w:val="00535A5B"/>
    <w:rPr>
      <w:rFonts w:ascii="Cambria" w:eastAsia="宋体" w:hAnsi="Cambria" w:cs="Times New Roman"/>
      <w:b/>
      <w:bCs/>
      <w:kern w:val="28"/>
      <w:sz w:val="32"/>
      <w:szCs w:val="32"/>
      <w:lang w:val="en-US" w:eastAsia="zh-CN" w:bidi="ar-SA"/>
    </w:rPr>
  </w:style>
  <w:style w:type="paragraph" w:customStyle="1" w:styleId="CharCharCharChar">
    <w:name w:val="Char Char Char Char"/>
    <w:basedOn w:val="Normal"/>
    <w:uiPriority w:val="99"/>
    <w:rsid w:val="00535A5B"/>
    <w:pPr>
      <w:spacing w:after="160" w:line="240" w:lineRule="exact"/>
      <w:jc w:val="left"/>
    </w:pPr>
    <w:rPr>
      <w:rFonts w:ascii="Verdana" w:hAnsi="Verdana" w:cs="Times New Roman"/>
      <w:sz w:val="20"/>
      <w:szCs w:val="20"/>
      <w:lang w:eastAsia="en-US"/>
    </w:rPr>
  </w:style>
  <w:style w:type="character" w:customStyle="1" w:styleId="BodyTextIndentChar1">
    <w:name w:val="Body Text Indent Char1"/>
    <w:basedOn w:val="DefaultParagraphFont"/>
    <w:link w:val="BodyTextIndent"/>
    <w:uiPriority w:val="99"/>
    <w:locked/>
    <w:rsid w:val="00535A5B"/>
    <w:rPr>
      <w:rFonts w:ascii="仿宋_GB2312" w:eastAsia="仿宋_GB2312" w:cs="Times New Roman"/>
      <w:kern w:val="2"/>
      <w:sz w:val="24"/>
      <w:lang w:bidi="ar-SA"/>
    </w:rPr>
  </w:style>
  <w:style w:type="character" w:customStyle="1" w:styleId="CharChar">
    <w:name w:val="Char Char"/>
    <w:basedOn w:val="DefaultParagraphFont"/>
    <w:uiPriority w:val="99"/>
    <w:rsid w:val="00535A5B"/>
    <w:rPr>
      <w:rFonts w:cs="Times New Roman"/>
      <w:sz w:val="18"/>
      <w:szCs w:val="18"/>
    </w:rPr>
  </w:style>
  <w:style w:type="paragraph" w:customStyle="1" w:styleId="Style1">
    <w:name w:val="_Style 1"/>
    <w:basedOn w:val="Normal"/>
    <w:uiPriority w:val="99"/>
    <w:rsid w:val="00535A5B"/>
    <w:pPr>
      <w:widowControl w:val="0"/>
      <w:ind w:firstLineChars="200" w:firstLine="420"/>
    </w:pPr>
    <w:rPr>
      <w:rFonts w:ascii="Calibri" w:hAnsi="Calibri" w:cs="Times New Roman"/>
      <w:szCs w:val="22"/>
    </w:rPr>
  </w:style>
  <w:style w:type="paragraph" w:customStyle="1" w:styleId="a">
    <w:name w:val="列出段落"/>
    <w:basedOn w:val="Normal"/>
    <w:uiPriority w:val="99"/>
    <w:rsid w:val="00535A5B"/>
    <w:pPr>
      <w:widowControl w:val="0"/>
      <w:ind w:firstLineChars="200" w:firstLine="420"/>
    </w:pPr>
    <w:rPr>
      <w:rFonts w:ascii="Calibri" w:hAnsi="Calibri" w:cs="Times New Roman"/>
      <w:szCs w:val="22"/>
    </w:rPr>
  </w:style>
  <w:style w:type="character" w:customStyle="1" w:styleId="CharChar1">
    <w:name w:val="Char Char1"/>
    <w:basedOn w:val="DefaultParagraphFont"/>
    <w:uiPriority w:val="99"/>
    <w:rsid w:val="00535A5B"/>
    <w:rPr>
      <w:rFonts w:cs="Times New Roman"/>
      <w:sz w:val="18"/>
      <w:szCs w:val="18"/>
    </w:rPr>
  </w:style>
  <w:style w:type="paragraph" w:customStyle="1" w:styleId="CharCharCharChar1">
    <w:name w:val="Char Char Char Char1"/>
    <w:basedOn w:val="Normal"/>
    <w:uiPriority w:val="99"/>
    <w:rsid w:val="00535A5B"/>
    <w:pPr>
      <w:spacing w:after="160" w:line="240" w:lineRule="exact"/>
      <w:jc w:val="left"/>
    </w:pPr>
    <w:rPr>
      <w:rFonts w:ascii="Verdana" w:hAnsi="Verdana" w:cs="Times New Roman"/>
      <w:sz w:val="20"/>
      <w:szCs w:val="20"/>
      <w:lang w:eastAsia="en-US"/>
    </w:rPr>
  </w:style>
  <w:style w:type="character" w:customStyle="1" w:styleId="CharChar11">
    <w:name w:val="Char Char11"/>
    <w:basedOn w:val="DefaultParagraphFont"/>
    <w:uiPriority w:val="99"/>
    <w:rsid w:val="00535A5B"/>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596211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127</Words>
  <Characters>724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User</dc:creator>
  <cp:keywords/>
  <dc:description/>
  <cp:lastModifiedBy>周灵卓_zhoulingzhuo</cp:lastModifiedBy>
  <cp:revision>2</cp:revision>
  <cp:lastPrinted>2017-05-19T09:19:00Z</cp:lastPrinted>
  <dcterms:created xsi:type="dcterms:W3CDTF">2017-05-19T09:22:00Z</dcterms:created>
  <dcterms:modified xsi:type="dcterms:W3CDTF">2017-05-19T09:22:00Z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