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C0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44"/>
          <w:szCs w:val="44"/>
          <w:highlight w:val="none"/>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1434F76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color w:val="auto"/>
          <w:sz w:val="44"/>
          <w:szCs w:val="44"/>
          <w:highlight w:val="none"/>
          <w:lang w:eastAsia="zh-CN"/>
        </w:rPr>
      </w:pPr>
    </w:p>
    <w:p w14:paraId="0E0B36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四川省药品网络零售</w:t>
      </w:r>
      <w:r>
        <w:rPr>
          <w:rFonts w:hint="default" w:ascii="Times New Roman" w:hAnsi="Times New Roman" w:eastAsia="方正小标宋简体" w:cs="Times New Roman"/>
          <w:color w:val="auto"/>
          <w:sz w:val="44"/>
          <w:szCs w:val="44"/>
          <w:highlight w:val="none"/>
        </w:rPr>
        <w:t>智能储</w:t>
      </w:r>
      <w:r>
        <w:rPr>
          <w:rFonts w:hint="eastAsia" w:ascii="Times New Roman" w:hAnsi="Times New Roman" w:eastAsia="方正小标宋简体" w:cs="Times New Roman"/>
          <w:color w:val="auto"/>
          <w:sz w:val="44"/>
          <w:szCs w:val="44"/>
          <w:highlight w:val="none"/>
          <w:lang w:eastAsia="zh-CN"/>
        </w:rPr>
        <w:t>配仓</w:t>
      </w:r>
    </w:p>
    <w:p w14:paraId="05A37173">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试点</w:t>
      </w:r>
      <w:r>
        <w:rPr>
          <w:rFonts w:hint="default" w:ascii="Times New Roman" w:hAnsi="Times New Roman" w:eastAsia="方正小标宋简体" w:cs="Times New Roman"/>
          <w:color w:val="auto"/>
          <w:sz w:val="44"/>
          <w:szCs w:val="44"/>
          <w:highlight w:val="none"/>
          <w:lang w:eastAsia="zh-CN"/>
        </w:rPr>
        <w:t>管理</w:t>
      </w:r>
      <w:r>
        <w:rPr>
          <w:rFonts w:hint="eastAsia" w:ascii="Times New Roman" w:hAnsi="Times New Roman" w:eastAsia="方正小标宋简体" w:cs="Times New Roman"/>
          <w:color w:val="auto"/>
          <w:sz w:val="44"/>
          <w:szCs w:val="44"/>
          <w:highlight w:val="none"/>
          <w:lang w:eastAsia="zh-CN"/>
        </w:rPr>
        <w:t>办法</w:t>
      </w:r>
    </w:p>
    <w:p w14:paraId="258F4307">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（征求意见稿）</w:t>
      </w:r>
    </w:p>
    <w:p w14:paraId="713CE1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auto"/>
          <w:sz w:val="32"/>
          <w:szCs w:val="32"/>
          <w:lang w:eastAsia="zh-CN"/>
        </w:rPr>
      </w:pPr>
    </w:p>
    <w:p w14:paraId="03C31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14:paraId="79F8EAB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为鼓励药品零售行业创新发展，满足</w:t>
      </w:r>
      <w:r>
        <w:rPr>
          <w:rFonts w:hint="eastAsia" w:ascii="Times New Roman" w:hAnsi="Times New Roman" w:eastAsia="仿宋_GB2312" w:cs="Times New Roman"/>
          <w:color w:val="auto"/>
          <w:sz w:val="32"/>
          <w:szCs w:val="32"/>
          <w:lang w:val="en-US" w:eastAsia="zh-CN"/>
        </w:rPr>
        <w:t>消费者</w:t>
      </w:r>
      <w:r>
        <w:rPr>
          <w:rFonts w:hint="default" w:ascii="Times New Roman" w:hAnsi="Times New Roman" w:eastAsia="仿宋_GB2312" w:cs="Times New Roman"/>
          <w:color w:val="auto"/>
          <w:sz w:val="32"/>
          <w:szCs w:val="32"/>
        </w:rPr>
        <w:t>24小时用药需求，加强对新业态</w:t>
      </w:r>
      <w:r>
        <w:rPr>
          <w:rFonts w:hint="eastAsia" w:ascii="Times New Roman" w:hAnsi="Times New Roman" w:eastAsia="仿宋_GB2312" w:cs="Times New Roman"/>
          <w:color w:val="auto"/>
          <w:sz w:val="32"/>
          <w:szCs w:val="32"/>
          <w:lang w:eastAsia="zh-CN"/>
        </w:rPr>
        <w:t>药品安全</w:t>
      </w:r>
      <w:r>
        <w:rPr>
          <w:rFonts w:hint="default" w:ascii="Times New Roman" w:hAnsi="Times New Roman" w:eastAsia="仿宋_GB2312" w:cs="Times New Roman"/>
          <w:color w:val="auto"/>
          <w:sz w:val="32"/>
          <w:szCs w:val="32"/>
        </w:rPr>
        <w:t>的监督管理，根据《中华人民共和国药品管理法》《药品</w:t>
      </w:r>
      <w:r>
        <w:rPr>
          <w:rFonts w:hint="default" w:ascii="Times New Roman" w:hAnsi="Times New Roman" w:eastAsia="仿宋_GB2312" w:cs="Times New Roman"/>
          <w:color w:val="auto"/>
          <w:sz w:val="32"/>
          <w:szCs w:val="32"/>
          <w:lang w:eastAsia="zh-CN"/>
        </w:rPr>
        <w:t>经营和使用质量</w:t>
      </w:r>
      <w:r>
        <w:rPr>
          <w:rFonts w:hint="default" w:ascii="Times New Roman" w:hAnsi="Times New Roman" w:eastAsia="仿宋_GB2312" w:cs="Times New Roman"/>
          <w:color w:val="auto"/>
          <w:sz w:val="32"/>
          <w:szCs w:val="32"/>
        </w:rPr>
        <w:t>监督管理办法》《药品网络销售</w:t>
      </w:r>
      <w:r>
        <w:rPr>
          <w:rFonts w:hint="default" w:ascii="Times New Roman" w:hAnsi="Times New Roman" w:eastAsia="仿宋_GB2312" w:cs="Times New Roman"/>
          <w:color w:val="auto"/>
          <w:sz w:val="32"/>
          <w:szCs w:val="32"/>
          <w:lang w:eastAsia="zh-CN"/>
        </w:rPr>
        <w:t>监督</w:t>
      </w:r>
      <w:r>
        <w:rPr>
          <w:rFonts w:hint="default" w:ascii="Times New Roman" w:hAnsi="Times New Roman" w:eastAsia="仿宋_GB2312" w:cs="Times New Roman"/>
          <w:color w:val="auto"/>
          <w:sz w:val="32"/>
          <w:szCs w:val="32"/>
        </w:rPr>
        <w:t>管理办法》《药品经营质量管理规范》《处方药与非处方药分类管理办法（试行）》等</w:t>
      </w:r>
      <w:r>
        <w:rPr>
          <w:rFonts w:hint="eastAsia"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，结合实际，制定本</w:t>
      </w:r>
      <w:r>
        <w:rPr>
          <w:rFonts w:hint="eastAsia"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p>
    <w:p w14:paraId="108136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试点区域内的药品零售</w:t>
      </w:r>
      <w:r>
        <w:rPr>
          <w:rFonts w:hint="default" w:ascii="Times New Roman" w:hAnsi="Times New Roman" w:eastAsia="仿宋_GB2312" w:cs="Times New Roman"/>
          <w:color w:val="auto"/>
          <w:sz w:val="32"/>
          <w:szCs w:val="32"/>
          <w:lang w:eastAsia="zh-CN"/>
        </w:rPr>
        <w:t>连锁</w:t>
      </w:r>
      <w:r>
        <w:rPr>
          <w:rFonts w:hint="default" w:ascii="Times New Roman" w:hAnsi="Times New Roman" w:eastAsia="仿宋_GB2312" w:cs="Times New Roman"/>
          <w:color w:val="auto"/>
          <w:sz w:val="32"/>
          <w:szCs w:val="32"/>
        </w:rPr>
        <w:t>企业设置</w:t>
      </w:r>
      <w:r>
        <w:rPr>
          <w:rFonts w:hint="eastAsia" w:ascii="Times New Roman" w:hAnsi="Times New Roman" w:eastAsia="仿宋_GB2312" w:cs="Times New Roman"/>
          <w:color w:val="auto"/>
          <w:sz w:val="32"/>
          <w:szCs w:val="32"/>
          <w:lang w:eastAsia="zh-CN"/>
        </w:rPr>
        <w:t>药品网络销售</w:t>
      </w:r>
      <w:r>
        <w:rPr>
          <w:rFonts w:hint="default" w:ascii="Times New Roman" w:hAnsi="Times New Roman" w:eastAsia="仿宋_GB2312" w:cs="Times New Roman"/>
          <w:color w:val="auto"/>
          <w:sz w:val="32"/>
          <w:szCs w:val="32"/>
          <w:lang w:eastAsia="zh-CN"/>
        </w:rPr>
        <w:t>智能</w:t>
      </w:r>
      <w:r>
        <w:rPr>
          <w:rFonts w:hint="eastAsia" w:ascii="Times New Roman" w:hAnsi="Times New Roman" w:eastAsia="仿宋_GB2312" w:cs="Times New Roman"/>
          <w:color w:val="auto"/>
          <w:sz w:val="32"/>
          <w:szCs w:val="32"/>
          <w:lang w:eastAsia="zh-CN"/>
        </w:rPr>
        <w:t>储配仓（以下简称智能储配仓）</w:t>
      </w:r>
      <w:r>
        <w:rPr>
          <w:rFonts w:hint="default" w:ascii="Times New Roman" w:hAnsi="Times New Roman" w:eastAsia="仿宋_GB2312" w:cs="Times New Roman"/>
          <w:color w:val="auto"/>
          <w:sz w:val="32"/>
          <w:szCs w:val="32"/>
        </w:rPr>
        <w:t>及</w:t>
      </w:r>
      <w:r>
        <w:rPr>
          <w:rFonts w:hint="eastAsia"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监督管理活动，适用本</w:t>
      </w:r>
      <w:r>
        <w:rPr>
          <w:rFonts w:hint="eastAsia"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p>
    <w:p w14:paraId="674A414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本</w:t>
      </w:r>
      <w:r>
        <w:rPr>
          <w:rFonts w:hint="eastAsia"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所称</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是指</w:t>
      </w:r>
      <w:r>
        <w:rPr>
          <w:rFonts w:hint="eastAsia" w:ascii="Times New Roman" w:hAnsi="Times New Roman" w:eastAsia="仿宋_GB2312" w:cs="Times New Roman"/>
          <w:color w:val="auto"/>
          <w:sz w:val="32"/>
          <w:szCs w:val="32"/>
          <w:lang w:eastAsia="zh-CN"/>
        </w:rPr>
        <w:t>试点的</w:t>
      </w:r>
      <w:r>
        <w:rPr>
          <w:rFonts w:hint="default" w:ascii="Times New Roman" w:hAnsi="Times New Roman" w:eastAsia="仿宋_GB2312" w:cs="Times New Roman"/>
          <w:color w:val="auto"/>
          <w:sz w:val="32"/>
          <w:szCs w:val="32"/>
        </w:rPr>
        <w:t>药品零售</w:t>
      </w:r>
      <w:r>
        <w:rPr>
          <w:rFonts w:hint="default" w:ascii="Times New Roman" w:hAnsi="Times New Roman" w:eastAsia="仿宋_GB2312" w:cs="Times New Roman"/>
          <w:color w:val="auto"/>
          <w:sz w:val="32"/>
          <w:szCs w:val="32"/>
          <w:lang w:eastAsia="zh-CN"/>
        </w:rPr>
        <w:t>连锁</w:t>
      </w:r>
      <w:r>
        <w:rPr>
          <w:rFonts w:hint="default"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eastAsia="zh-CN"/>
        </w:rPr>
        <w:t>设置和统一管理的，能够实现温湿度自动监测</w:t>
      </w:r>
      <w:r>
        <w:rPr>
          <w:rFonts w:hint="eastAsia" w:ascii="Times New Roman" w:hAnsi="Times New Roman" w:eastAsia="仿宋_GB2312" w:cs="Times New Roman"/>
          <w:color w:val="auto"/>
          <w:sz w:val="32"/>
          <w:szCs w:val="32"/>
          <w:lang w:val="en-US" w:eastAsia="zh-CN"/>
        </w:rPr>
        <w:t>调控</w:t>
      </w:r>
      <w:r>
        <w:rPr>
          <w:rFonts w:hint="eastAsia" w:ascii="Times New Roman" w:hAnsi="Times New Roman" w:eastAsia="仿宋_GB2312" w:cs="Times New Roman"/>
          <w:color w:val="auto"/>
          <w:sz w:val="32"/>
          <w:szCs w:val="32"/>
          <w:lang w:eastAsia="zh-CN"/>
        </w:rPr>
        <w:t>和药品</w:t>
      </w:r>
      <w:r>
        <w:rPr>
          <w:rFonts w:hint="default" w:ascii="Times New Roman" w:hAnsi="Times New Roman" w:eastAsia="仿宋_GB2312" w:cs="Times New Roman"/>
          <w:color w:val="auto"/>
          <w:sz w:val="32"/>
          <w:szCs w:val="32"/>
        </w:rPr>
        <w:t>自动</w:t>
      </w:r>
      <w:r>
        <w:rPr>
          <w:rFonts w:hint="eastAsia" w:ascii="Times New Roman" w:hAnsi="Times New Roman" w:eastAsia="仿宋_GB2312" w:cs="Times New Roman"/>
          <w:color w:val="auto"/>
          <w:sz w:val="32"/>
          <w:szCs w:val="32"/>
          <w:lang w:eastAsia="zh-CN"/>
        </w:rPr>
        <w:t>识别上架、</w:t>
      </w:r>
      <w:r>
        <w:rPr>
          <w:rFonts w:hint="default" w:ascii="Times New Roman" w:hAnsi="Times New Roman" w:eastAsia="仿宋_GB2312" w:cs="Times New Roman"/>
          <w:color w:val="auto"/>
          <w:sz w:val="32"/>
          <w:szCs w:val="32"/>
        </w:rPr>
        <w:t>分拣打包</w:t>
      </w:r>
      <w:r>
        <w:rPr>
          <w:rFonts w:hint="eastAsia" w:ascii="Times New Roman" w:hAnsi="Times New Roman" w:eastAsia="仿宋_GB2312" w:cs="Times New Roman"/>
          <w:color w:val="auto"/>
          <w:sz w:val="32"/>
          <w:szCs w:val="32"/>
          <w:lang w:eastAsia="zh-CN"/>
        </w:rPr>
        <w:t>、封口贴签、配送（</w:t>
      </w:r>
      <w:r>
        <w:rPr>
          <w:rFonts w:hint="default" w:ascii="Times New Roman" w:hAnsi="Times New Roman" w:eastAsia="仿宋_GB2312" w:cs="Times New Roman"/>
          <w:color w:val="auto"/>
          <w:sz w:val="32"/>
          <w:szCs w:val="32"/>
        </w:rPr>
        <w:t>自助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取药</w:t>
      </w:r>
      <w:r>
        <w:rPr>
          <w:rFonts w:hint="eastAsia"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24小时服务</w:t>
      </w:r>
      <w:r>
        <w:rPr>
          <w:rFonts w:hint="default"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网络销售药品</w:t>
      </w:r>
      <w:r>
        <w:rPr>
          <w:rFonts w:hint="eastAsia" w:ascii="Times New Roman" w:hAnsi="Times New Roman" w:eastAsia="仿宋_GB2312" w:cs="Times New Roman"/>
          <w:color w:val="auto"/>
          <w:sz w:val="32"/>
          <w:szCs w:val="32"/>
          <w:lang w:val="en-US" w:eastAsia="zh-CN"/>
        </w:rPr>
        <w:t>储存配送</w:t>
      </w:r>
      <w:r>
        <w:rPr>
          <w:rFonts w:hint="eastAsia"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lang w:eastAsia="zh-CN"/>
        </w:rPr>
        <w:t>设备</w:t>
      </w:r>
      <w:r>
        <w:rPr>
          <w:rFonts w:hint="eastAsia" w:ascii="Times New Roman" w:hAnsi="Times New Roman" w:eastAsia="仿宋_GB2312" w:cs="Times New Roman"/>
          <w:color w:val="auto"/>
          <w:sz w:val="32"/>
          <w:szCs w:val="32"/>
          <w:lang w:eastAsia="zh-CN"/>
        </w:rPr>
        <w:t>。</w:t>
      </w:r>
    </w:p>
    <w:p w14:paraId="64388AEB">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智能储配仓试点工作在四川省各市（州）所辖区（含康定市、马尔康市、西昌市）的街道范围内开展，试点期限</w:t>
      </w:r>
      <w:r>
        <w:rPr>
          <w:rFonts w:hint="eastAsia" w:ascii="Times New Roman" w:hAnsi="Times New Roman" w:eastAsia="仿宋_GB2312" w:cs="Times New Roman"/>
          <w:color w:val="auto"/>
          <w:sz w:val="32"/>
          <w:szCs w:val="32"/>
          <w:lang w:val="en-US" w:eastAsia="zh-CN"/>
        </w:rPr>
        <w:t>2年。</w:t>
      </w:r>
    </w:p>
    <w:p w14:paraId="6298381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四川</w:t>
      </w:r>
      <w:r>
        <w:rPr>
          <w:rFonts w:hint="default" w:ascii="Times New Roman" w:hAnsi="Times New Roman" w:eastAsia="仿宋_GB2312" w:cs="Times New Roman"/>
          <w:color w:val="auto"/>
          <w:sz w:val="32"/>
          <w:szCs w:val="32"/>
        </w:rPr>
        <w:t>省药监局各检查分局</w:t>
      </w:r>
      <w:r>
        <w:rPr>
          <w:rFonts w:hint="eastAsia" w:ascii="Times New Roman" w:hAnsi="Times New Roman" w:eastAsia="仿宋_GB2312" w:cs="Times New Roman"/>
          <w:color w:val="auto"/>
          <w:sz w:val="32"/>
          <w:szCs w:val="32"/>
          <w:lang w:eastAsia="zh-CN"/>
        </w:rPr>
        <w:t>及受托负责药品</w:t>
      </w:r>
      <w:r>
        <w:rPr>
          <w:rFonts w:hint="default" w:ascii="Times New Roman" w:hAnsi="Times New Roman" w:eastAsia="仿宋_GB2312" w:cs="Times New Roman"/>
          <w:color w:val="auto"/>
          <w:sz w:val="32"/>
          <w:szCs w:val="32"/>
        </w:rPr>
        <w:t>零售连锁总部监督检查工作</w:t>
      </w:r>
      <w:r>
        <w:rPr>
          <w:rFonts w:hint="eastAsia" w:ascii="Times New Roman" w:hAnsi="Times New Roman" w:eastAsia="仿宋_GB2312" w:cs="Times New Roman"/>
          <w:color w:val="auto"/>
          <w:sz w:val="32"/>
          <w:szCs w:val="32"/>
          <w:lang w:eastAsia="zh-CN"/>
        </w:rPr>
        <w:t>的市（州）药品监管部门负责管辖的零售连锁总部及其智能储配仓的监督管理</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区（市、县）</w:t>
      </w:r>
      <w:r>
        <w:rPr>
          <w:rFonts w:hint="default" w:ascii="Times New Roman" w:hAnsi="Times New Roman" w:eastAsia="仿宋_GB2312" w:cs="Times New Roman"/>
          <w:color w:val="auto"/>
          <w:sz w:val="32"/>
          <w:szCs w:val="32"/>
          <w:lang w:eastAsia="zh-CN"/>
        </w:rPr>
        <w:t>药品监管</w:t>
      </w:r>
      <w:r>
        <w:rPr>
          <w:rFonts w:hint="default" w:ascii="Times New Roman" w:hAnsi="Times New Roman" w:eastAsia="仿宋_GB2312" w:cs="Times New Roman"/>
          <w:color w:val="auto"/>
          <w:sz w:val="32"/>
          <w:szCs w:val="32"/>
        </w:rPr>
        <w:t>部门负责辖区内</w:t>
      </w:r>
      <w:r>
        <w:rPr>
          <w:rFonts w:hint="eastAsia" w:ascii="Times New Roman" w:hAnsi="Times New Roman" w:eastAsia="仿宋_GB2312" w:cs="Times New Roman"/>
          <w:color w:val="auto"/>
          <w:sz w:val="32"/>
          <w:szCs w:val="32"/>
          <w:lang w:eastAsia="zh-CN"/>
        </w:rPr>
        <w:t>从事药品网络销售连锁门店</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监督管理</w:t>
      </w:r>
      <w:r>
        <w:rPr>
          <w:rFonts w:hint="default" w:ascii="Times New Roman" w:hAnsi="Times New Roman" w:eastAsia="仿宋_GB2312" w:cs="Times New Roman"/>
          <w:color w:val="auto"/>
          <w:sz w:val="32"/>
          <w:szCs w:val="32"/>
        </w:rPr>
        <w:t>。</w:t>
      </w:r>
    </w:p>
    <w:p w14:paraId="61C2302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药品零售</w:t>
      </w:r>
      <w:r>
        <w:rPr>
          <w:rFonts w:hint="default" w:ascii="Times New Roman" w:hAnsi="Times New Roman" w:eastAsia="仿宋_GB2312" w:cs="Times New Roman"/>
          <w:color w:val="000000"/>
          <w:sz w:val="32"/>
          <w:szCs w:val="32"/>
        </w:rPr>
        <w:t>连锁</w:t>
      </w:r>
      <w:r>
        <w:rPr>
          <w:rFonts w:hint="eastAsia" w:ascii="Times New Roman" w:hAnsi="Times New Roman" w:eastAsia="仿宋_GB2312" w:cs="Times New Roman"/>
          <w:color w:val="000000"/>
          <w:sz w:val="32"/>
          <w:szCs w:val="32"/>
          <w:lang w:eastAsia="zh-CN"/>
        </w:rPr>
        <w:t>企业总部（以下简称连锁总部）智能储配仓管理及其连锁门店网络销售药品，应当</w:t>
      </w:r>
      <w:r>
        <w:rPr>
          <w:rFonts w:hint="default" w:ascii="Times New Roman" w:hAnsi="Times New Roman" w:eastAsia="仿宋_GB2312" w:cs="Times New Roman"/>
          <w:color w:val="000000"/>
          <w:sz w:val="32"/>
          <w:szCs w:val="32"/>
        </w:rPr>
        <w:t>遵守药品管理法律、法规</w:t>
      </w:r>
      <w:r>
        <w:rPr>
          <w:rFonts w:hint="eastAsia" w:ascii="Times New Roman" w:hAnsi="Times New Roman" w:eastAsia="仿宋_GB2312" w:cs="Times New Roman"/>
          <w:color w:val="000000"/>
          <w:sz w:val="32"/>
          <w:szCs w:val="32"/>
          <w:lang w:eastAsia="zh-CN"/>
        </w:rPr>
        <w:t>、规章</w:t>
      </w:r>
      <w:r>
        <w:rPr>
          <w:rFonts w:hint="default" w:ascii="Times New Roman" w:hAnsi="Times New Roman" w:eastAsia="仿宋_GB2312" w:cs="Times New Roman"/>
          <w:color w:val="000000"/>
          <w:sz w:val="32"/>
          <w:szCs w:val="32"/>
        </w:rPr>
        <w:t>及相关规定，依法经营，诚实守信。</w:t>
      </w:r>
    </w:p>
    <w:p w14:paraId="5D5F04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p>
    <w:p w14:paraId="73C34B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第二章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试点</w:t>
      </w:r>
      <w:r>
        <w:rPr>
          <w:rFonts w:hint="default" w:ascii="Times New Roman" w:hAnsi="Times New Roman" w:eastAsia="黑体" w:cs="Times New Roman"/>
          <w:color w:val="auto"/>
          <w:sz w:val="32"/>
          <w:szCs w:val="32"/>
        </w:rPr>
        <w:t>要求</w:t>
      </w:r>
    </w:p>
    <w:p w14:paraId="0139FE08">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七</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rPr>
        <w:t>依法取得《药品经营许可证</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且具有自营的仓储配送条件、</w:t>
      </w:r>
      <w:r>
        <w:rPr>
          <w:rFonts w:hint="eastAsia" w:ascii="Times New Roman" w:hAnsi="Times New Roman" w:eastAsia="仿宋_GB2312" w:cs="Times New Roman"/>
          <w:color w:val="auto"/>
          <w:sz w:val="32"/>
          <w:szCs w:val="32"/>
          <w:highlight w:val="none"/>
          <w:lang w:val="en-US" w:eastAsia="zh-CN"/>
        </w:rPr>
        <w:t>3名以上执业药师的</w:t>
      </w:r>
      <w:r>
        <w:rPr>
          <w:rFonts w:hint="eastAsia" w:ascii="Times New Roman" w:hAnsi="Times New Roman" w:eastAsia="仿宋_GB2312" w:cs="Times New Roman"/>
          <w:color w:val="auto"/>
          <w:sz w:val="32"/>
          <w:szCs w:val="32"/>
          <w:highlight w:val="none"/>
          <w:lang w:eastAsia="zh-CN"/>
        </w:rPr>
        <w:t>远程审方中心、符合《药品零售连锁总部检查细则》和“七统一”要求的</w:t>
      </w:r>
      <w:r>
        <w:rPr>
          <w:rFonts w:hint="default" w:ascii="Times New Roman" w:hAnsi="Times New Roman" w:eastAsia="仿宋_GB2312" w:cs="Times New Roman"/>
          <w:color w:val="auto"/>
          <w:sz w:val="32"/>
          <w:szCs w:val="32"/>
          <w:lang w:eastAsia="zh-CN"/>
        </w:rPr>
        <w:t>连锁</w:t>
      </w:r>
      <w:r>
        <w:rPr>
          <w:rFonts w:hint="eastAsia" w:ascii="Times New Roman" w:hAnsi="Times New Roman" w:eastAsia="仿宋_GB2312" w:cs="Times New Roman"/>
          <w:color w:val="auto"/>
          <w:sz w:val="32"/>
          <w:szCs w:val="32"/>
          <w:lang w:eastAsia="zh-CN"/>
        </w:rPr>
        <w:t>总部，</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连锁</w:t>
      </w:r>
      <w:r>
        <w:rPr>
          <w:rFonts w:hint="default" w:ascii="Times New Roman" w:hAnsi="Times New Roman" w:eastAsia="仿宋_GB2312" w:cs="Times New Roman"/>
          <w:color w:val="auto"/>
          <w:sz w:val="32"/>
          <w:szCs w:val="32"/>
          <w:lang w:eastAsia="zh-CN"/>
        </w:rPr>
        <w:t>门店</w:t>
      </w:r>
      <w:r>
        <w:rPr>
          <w:rFonts w:hint="eastAsia" w:ascii="Times New Roman" w:hAnsi="Times New Roman" w:eastAsia="仿宋_GB2312" w:cs="Times New Roman"/>
          <w:color w:val="auto"/>
          <w:sz w:val="32"/>
          <w:szCs w:val="32"/>
          <w:lang w:eastAsia="zh-CN"/>
        </w:rPr>
        <w:t>符合《四川省药品零售经营监督管理办法》关于连锁门店的要求并从事药品网络销售的，</w:t>
      </w:r>
      <w:r>
        <w:rPr>
          <w:rFonts w:hint="default" w:ascii="Times New Roman" w:hAnsi="Times New Roman" w:eastAsia="仿宋_GB2312" w:cs="Times New Roman"/>
          <w:color w:val="auto"/>
          <w:sz w:val="32"/>
          <w:szCs w:val="32"/>
        </w:rPr>
        <w:t>可以</w:t>
      </w:r>
      <w:r>
        <w:rPr>
          <w:rFonts w:hint="eastAsia" w:ascii="Times New Roman" w:hAnsi="Times New Roman" w:eastAsia="仿宋_GB2312" w:cs="Times New Roman"/>
          <w:color w:val="auto"/>
          <w:sz w:val="32"/>
          <w:szCs w:val="32"/>
          <w:lang w:eastAsia="zh-CN"/>
        </w:rPr>
        <w:t>试点</w:t>
      </w:r>
      <w:r>
        <w:rPr>
          <w:rFonts w:hint="default" w:ascii="Times New Roman" w:hAnsi="Times New Roman" w:eastAsia="仿宋_GB2312" w:cs="Times New Roman"/>
          <w:color w:val="auto"/>
          <w:sz w:val="32"/>
          <w:szCs w:val="32"/>
        </w:rPr>
        <w:t>设置</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w:t>
      </w:r>
    </w:p>
    <w:p w14:paraId="273B1750">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eastAsia="zh-CN"/>
        </w:rPr>
        <w:t>第八条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的设置应遵循合理布局、方便于民的原则</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试点期间，每家药品零售连锁企业设置智能储配仓总数不超过100个，在同一社区行政区域内只能设置1个智能储配仓，依托1家从事药品网络销售的连锁门店只能在其所在社区内设置1个智能储配仓。</w:t>
      </w:r>
    </w:p>
    <w:p w14:paraId="6B5356D8">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智能储配仓由连锁总部按照仓库（配送中心）进行统一运营管理，其地址在</w:t>
      </w:r>
      <w:r>
        <w:rPr>
          <w:rFonts w:hint="default" w:ascii="Times New Roman" w:hAnsi="Times New Roman" w:eastAsia="仿宋_GB2312" w:cs="Times New Roman"/>
          <w:color w:val="auto"/>
          <w:sz w:val="32"/>
          <w:szCs w:val="32"/>
        </w:rPr>
        <w:t>《药品经营许可证》</w:t>
      </w:r>
      <w:r>
        <w:rPr>
          <w:rFonts w:hint="eastAsia" w:ascii="Times New Roman" w:hAnsi="Times New Roman" w:eastAsia="仿宋_GB2312" w:cs="Times New Roman"/>
          <w:color w:val="auto"/>
          <w:sz w:val="32"/>
          <w:szCs w:val="32"/>
          <w:lang w:val="en-US" w:eastAsia="zh-CN"/>
        </w:rPr>
        <w:t>“仓库地址”、二维码关联项或者副本载明，并注明“（智能储配仓）”和有效期限。</w:t>
      </w:r>
    </w:p>
    <w:p w14:paraId="010832F0">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eastAsia="zh-CN"/>
        </w:rPr>
        <w:t>第十条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连锁企业</w:t>
      </w:r>
      <w:r>
        <w:rPr>
          <w:rFonts w:hint="eastAsia" w:ascii="Times New Roman" w:hAnsi="Times New Roman" w:eastAsia="仿宋_GB2312" w:cs="Times New Roman"/>
          <w:color w:val="auto"/>
          <w:sz w:val="32"/>
          <w:szCs w:val="32"/>
          <w:lang w:val="en-US" w:eastAsia="zh-CN"/>
        </w:rPr>
        <w:t>设置智能储配仓，应当</w:t>
      </w:r>
      <w:r>
        <w:rPr>
          <w:rFonts w:hint="eastAsia" w:ascii="Times New Roman" w:hAnsi="Times New Roman" w:eastAsia="仿宋_GB2312" w:cs="Times New Roman"/>
          <w:color w:val="auto"/>
          <w:sz w:val="32"/>
          <w:szCs w:val="32"/>
          <w:lang w:eastAsia="zh-CN"/>
        </w:rPr>
        <w:t>向智能储配仓所在地药品监管部门提出申请，并提交下列材料：</w:t>
      </w:r>
    </w:p>
    <w:p w14:paraId="4DA6D9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智能储配仓设置申请表</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（见附件）；</w:t>
      </w:r>
    </w:p>
    <w:p w14:paraId="722799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（二）智能储配仓管理规章制度以及设施设备清单；</w:t>
      </w:r>
    </w:p>
    <w:p w14:paraId="2FE4B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（三）智能储配仓平面布置图及房屋产权或者使用权相关材料；</w:t>
      </w:r>
    </w:p>
    <w:p w14:paraId="548CB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（四）智能储配仓周边</w:t>
      </w:r>
      <w:r>
        <w:rPr>
          <w:rFonts w:hint="eastAsia" w:ascii="Times New Roman" w:hAnsi="Times New Roman" w:eastAsia="仿宋_GB2312" w:cs="Times New Roman"/>
          <w:color w:val="auto"/>
          <w:kern w:val="0"/>
          <w:sz w:val="32"/>
          <w:szCs w:val="32"/>
          <w:lang w:val="en-US" w:eastAsia="zh-CN" w:bidi="ar"/>
        </w:rPr>
        <w:t>安全、</w:t>
      </w:r>
      <w:r>
        <w:rPr>
          <w:rFonts w:hint="default" w:ascii="Times New Roman" w:hAnsi="Times New Roman" w:eastAsia="仿宋_GB2312" w:cs="Times New Roman"/>
          <w:color w:val="auto"/>
          <w:kern w:val="0"/>
          <w:sz w:val="32"/>
          <w:szCs w:val="32"/>
          <w:lang w:val="en-US" w:eastAsia="zh-CN" w:bidi="ar"/>
        </w:rPr>
        <w:t>卫生环境等情况</w:t>
      </w:r>
      <w:r>
        <w:rPr>
          <w:rFonts w:hint="eastAsia" w:ascii="Times New Roman" w:hAnsi="Times New Roman" w:eastAsia="仿宋_GB2312" w:cs="Times New Roman"/>
          <w:color w:val="auto"/>
          <w:kern w:val="0"/>
          <w:sz w:val="32"/>
          <w:szCs w:val="32"/>
          <w:lang w:val="en-US" w:eastAsia="zh-CN" w:bidi="ar"/>
        </w:rPr>
        <w:t>；</w:t>
      </w:r>
    </w:p>
    <w:p w14:paraId="31898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w:t>
      </w:r>
      <w:r>
        <w:rPr>
          <w:rFonts w:hint="eastAsia" w:ascii="Times New Roman" w:hAnsi="Times New Roman" w:eastAsia="仿宋_GB2312" w:cs="Times New Roman"/>
          <w:color w:val="auto"/>
          <w:kern w:val="0"/>
          <w:sz w:val="32"/>
          <w:szCs w:val="32"/>
          <w:lang w:val="en-US" w:eastAsia="zh-CN" w:bidi="ar"/>
        </w:rPr>
        <w:t>连锁总部及连锁门店</w:t>
      </w:r>
      <w:r>
        <w:rPr>
          <w:rFonts w:hint="default" w:ascii="Times New Roman" w:hAnsi="Times New Roman" w:eastAsia="仿宋_GB2312" w:cs="Times New Roman"/>
          <w:color w:val="auto"/>
          <w:kern w:val="0"/>
          <w:sz w:val="32"/>
          <w:szCs w:val="32"/>
          <w:lang w:val="en-US" w:eastAsia="zh-CN" w:bidi="ar"/>
        </w:rPr>
        <w:t>计算机信息管理系统基本情况介绍和功能说明；</w:t>
      </w:r>
    </w:p>
    <w:p w14:paraId="284F84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（六）连锁门店相关资质证明文件和</w:t>
      </w:r>
      <w:r>
        <w:rPr>
          <w:rFonts w:hint="eastAsia" w:ascii="Times New Roman" w:hAnsi="Times New Roman" w:eastAsia="仿宋_GB2312" w:cs="Times New Roman"/>
          <w:color w:val="auto"/>
          <w:kern w:val="0"/>
          <w:sz w:val="32"/>
          <w:szCs w:val="32"/>
          <w:lang w:val="en-US" w:eastAsia="zh-CN" w:bidi="ar"/>
        </w:rPr>
        <w:t>符合规定条件的</w:t>
      </w:r>
      <w:r>
        <w:rPr>
          <w:rFonts w:hint="default" w:ascii="Times New Roman" w:hAnsi="Times New Roman" w:eastAsia="仿宋_GB2312" w:cs="Times New Roman"/>
          <w:color w:val="auto"/>
          <w:kern w:val="0"/>
          <w:sz w:val="32"/>
          <w:szCs w:val="32"/>
          <w:lang w:val="en-US" w:eastAsia="zh-CN" w:bidi="ar"/>
        </w:rPr>
        <w:t>情况说明；</w:t>
      </w:r>
    </w:p>
    <w:p w14:paraId="3B89B7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（七）企业、企业法定代表人、主要负责人、质量负责人无违反药品管理法律法规行为的自我保证、声明；</w:t>
      </w:r>
    </w:p>
    <w:p w14:paraId="67616E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（八）申请材料合法性、真实性的书面承诺。</w:t>
      </w:r>
    </w:p>
    <w:p w14:paraId="15477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十一</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kern w:val="0"/>
          <w:sz w:val="32"/>
          <w:szCs w:val="32"/>
          <w:lang w:val="en-US" w:eastAsia="zh-CN" w:bidi="ar"/>
        </w:rPr>
        <w:t>各市（州）</w:t>
      </w:r>
      <w:r>
        <w:rPr>
          <w:rFonts w:hint="default" w:ascii="Times New Roman" w:hAnsi="Times New Roman" w:eastAsia="仿宋_GB2312" w:cs="Times New Roman"/>
          <w:color w:val="auto"/>
          <w:kern w:val="0"/>
          <w:sz w:val="32"/>
          <w:szCs w:val="32"/>
          <w:lang w:val="en-US" w:eastAsia="zh-CN" w:bidi="ar"/>
        </w:rPr>
        <w:t>药品监管部门收到申请后，</w:t>
      </w:r>
      <w:r>
        <w:rPr>
          <w:rFonts w:hint="eastAsia" w:ascii="Times New Roman" w:hAnsi="Times New Roman" w:eastAsia="仿宋_GB2312" w:cs="Times New Roman"/>
          <w:color w:val="auto"/>
          <w:kern w:val="0"/>
          <w:sz w:val="32"/>
          <w:szCs w:val="32"/>
          <w:lang w:val="en-US" w:eastAsia="zh-CN" w:bidi="ar"/>
        </w:rPr>
        <w:t>根据提供的材料和掌握的情况进行初步审核，7个工作日内提出是否同意设置的意见。</w:t>
      </w:r>
    </w:p>
    <w:p w14:paraId="48D7DF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同意设置的，连锁总部向四川省药品监督</w:t>
      </w:r>
      <w:r>
        <w:rPr>
          <w:rFonts w:hint="eastAsia" w:ascii="Times New Roman" w:hAnsi="Times New Roman" w:eastAsia="仿宋_GB2312" w:cs="Times New Roman"/>
          <w:color w:val="auto"/>
          <w:kern w:val="0"/>
          <w:sz w:val="32"/>
          <w:szCs w:val="32"/>
          <w:lang w:val="en-US" w:eastAsia="zh-CN" w:bidi="ar"/>
        </w:rPr>
        <w:t>管理局（政务服务窗口）提出增加仓库地址的申请，按照行政许可相关程序和时限办理并及时公开相关信息。</w:t>
      </w:r>
    </w:p>
    <w:p w14:paraId="6AC37D0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32"/>
          <w:szCs w:val="32"/>
        </w:rPr>
      </w:pPr>
    </w:p>
    <w:p w14:paraId="2A2E78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质量管理</w:t>
      </w:r>
      <w:r>
        <w:rPr>
          <w:rFonts w:hint="eastAsia" w:ascii="Times New Roman" w:hAnsi="Times New Roman" w:eastAsia="黑体" w:cs="Times New Roman"/>
          <w:color w:val="auto"/>
          <w:sz w:val="32"/>
          <w:szCs w:val="32"/>
          <w:lang w:eastAsia="zh-CN"/>
        </w:rPr>
        <w:t>体系</w:t>
      </w:r>
    </w:p>
    <w:p w14:paraId="099237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连锁总部</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lang w:eastAsia="zh-CN"/>
        </w:rPr>
        <w:t>储存</w:t>
      </w:r>
      <w:r>
        <w:rPr>
          <w:rFonts w:hint="eastAsia" w:ascii="Times New Roman" w:hAnsi="Times New Roman" w:eastAsia="仿宋_GB2312" w:cs="Times New Roman"/>
          <w:color w:val="auto"/>
          <w:sz w:val="32"/>
          <w:szCs w:val="32"/>
          <w:lang w:eastAsia="zh-CN"/>
        </w:rPr>
        <w:t>配送</w:t>
      </w:r>
      <w:r>
        <w:rPr>
          <w:rFonts w:hint="default" w:ascii="Times New Roman" w:hAnsi="Times New Roman" w:eastAsia="仿宋_GB2312" w:cs="Times New Roman"/>
          <w:color w:val="auto"/>
          <w:sz w:val="32"/>
          <w:szCs w:val="32"/>
        </w:rPr>
        <w:t>药品的质量和安全承担</w:t>
      </w:r>
      <w:r>
        <w:rPr>
          <w:rFonts w:hint="eastAsia" w:ascii="Times New Roman" w:hAnsi="Times New Roman" w:eastAsia="仿宋_GB2312" w:cs="Times New Roman"/>
          <w:color w:val="auto"/>
          <w:sz w:val="32"/>
          <w:szCs w:val="32"/>
          <w:lang w:eastAsia="zh-CN"/>
        </w:rPr>
        <w:t>主体</w:t>
      </w:r>
      <w:r>
        <w:rPr>
          <w:rFonts w:hint="default" w:ascii="Times New Roman" w:hAnsi="Times New Roman" w:eastAsia="仿宋_GB2312" w:cs="Times New Roman"/>
          <w:color w:val="auto"/>
          <w:sz w:val="32"/>
          <w:szCs w:val="32"/>
        </w:rPr>
        <w:t>责任</w:t>
      </w:r>
      <w:r>
        <w:rPr>
          <w:rFonts w:hint="eastAsia" w:ascii="Times New Roman" w:hAnsi="Times New Roman" w:eastAsia="仿宋_GB2312" w:cs="Times New Roman"/>
          <w:color w:val="auto"/>
          <w:sz w:val="32"/>
          <w:szCs w:val="32"/>
          <w:lang w:eastAsia="zh-CN"/>
        </w:rPr>
        <w:t>，连锁门店对网络销售药品行为承担主体责任</w:t>
      </w:r>
      <w:r>
        <w:rPr>
          <w:rFonts w:hint="default" w:ascii="Times New Roman" w:hAnsi="Times New Roman" w:eastAsia="仿宋_GB2312" w:cs="Times New Roman"/>
          <w:color w:val="auto"/>
          <w:sz w:val="32"/>
          <w:szCs w:val="32"/>
        </w:rPr>
        <w:t>。</w:t>
      </w:r>
    </w:p>
    <w:p w14:paraId="7810053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连锁</w:t>
      </w:r>
      <w:r>
        <w:rPr>
          <w:rFonts w:hint="eastAsia" w:ascii="Times New Roman" w:hAnsi="Times New Roman" w:eastAsia="仿宋_GB2312" w:cs="Times New Roman"/>
          <w:color w:val="auto"/>
          <w:sz w:val="32"/>
          <w:szCs w:val="32"/>
          <w:lang w:eastAsia="zh-CN"/>
        </w:rPr>
        <w:t>总部应</w:t>
      </w:r>
      <w:r>
        <w:rPr>
          <w:rFonts w:hint="default" w:ascii="Times New Roman" w:hAnsi="Times New Roman" w:eastAsia="仿宋_GB2312" w:cs="Times New Roman"/>
          <w:color w:val="auto"/>
          <w:sz w:val="32"/>
          <w:szCs w:val="32"/>
        </w:rPr>
        <w:t>建立统一的</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相关管理制度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w:t>
      </w:r>
    </w:p>
    <w:p w14:paraId="2A016B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相关部门及岗位人员的职责；</w:t>
      </w:r>
    </w:p>
    <w:p w14:paraId="17483D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）智能储配仓检查</w:t>
      </w:r>
      <w:r>
        <w:rPr>
          <w:rFonts w:hint="default" w:ascii="Times New Roman" w:hAnsi="Times New Roman" w:eastAsia="仿宋_GB2312" w:cs="Times New Roman"/>
          <w:color w:val="auto"/>
          <w:sz w:val="32"/>
          <w:szCs w:val="32"/>
        </w:rPr>
        <w:t>巡查制度；</w:t>
      </w:r>
    </w:p>
    <w:p w14:paraId="3212CA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（三）智能储配仓验证、维护和安全管理制度；</w:t>
      </w:r>
    </w:p>
    <w:p w14:paraId="242220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计算机系统管理制度；</w:t>
      </w:r>
    </w:p>
    <w:p w14:paraId="46D17C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药品验收、</w:t>
      </w:r>
      <w:r>
        <w:rPr>
          <w:rFonts w:hint="eastAsia" w:ascii="Times New Roman" w:hAnsi="Times New Roman" w:eastAsia="仿宋_GB2312" w:cs="Times New Roman"/>
          <w:color w:val="auto"/>
          <w:sz w:val="32"/>
          <w:szCs w:val="32"/>
          <w:lang w:eastAsia="zh-CN"/>
        </w:rPr>
        <w:t>储存、分拣、配送</w:t>
      </w:r>
      <w:r>
        <w:rPr>
          <w:rFonts w:hint="default" w:ascii="Times New Roman" w:hAnsi="Times New Roman" w:eastAsia="仿宋_GB2312" w:cs="Times New Roman"/>
          <w:color w:val="auto"/>
          <w:sz w:val="32"/>
          <w:szCs w:val="32"/>
        </w:rPr>
        <w:t>等环节的管理制度；</w:t>
      </w:r>
    </w:p>
    <w:p w14:paraId="123EDD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记录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凭证的管理制度；</w:t>
      </w:r>
    </w:p>
    <w:p w14:paraId="483876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（七）网络销售订单接收、保存等</w:t>
      </w:r>
      <w:r>
        <w:rPr>
          <w:rFonts w:hint="default" w:ascii="Times New Roman" w:hAnsi="Times New Roman" w:eastAsia="仿宋_GB2312" w:cs="Times New Roman"/>
          <w:color w:val="auto"/>
          <w:sz w:val="32"/>
          <w:szCs w:val="32"/>
        </w:rPr>
        <w:t>管理制度；</w:t>
      </w:r>
    </w:p>
    <w:p w14:paraId="681252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质量事故、质量投诉管理</w:t>
      </w:r>
      <w:r>
        <w:rPr>
          <w:rFonts w:hint="eastAsia" w:ascii="Times New Roman" w:hAnsi="Times New Roman" w:eastAsia="仿宋_GB2312" w:cs="Times New Roman"/>
          <w:color w:val="auto"/>
          <w:sz w:val="32"/>
          <w:szCs w:val="32"/>
          <w:lang w:eastAsia="zh-CN"/>
        </w:rPr>
        <w:t>等售后管理</w:t>
      </w:r>
      <w:r>
        <w:rPr>
          <w:rFonts w:hint="default" w:ascii="Times New Roman" w:hAnsi="Times New Roman" w:eastAsia="仿宋_GB2312" w:cs="Times New Roman"/>
          <w:color w:val="auto"/>
          <w:sz w:val="32"/>
          <w:szCs w:val="32"/>
        </w:rPr>
        <w:t>制度；</w:t>
      </w:r>
    </w:p>
    <w:p w14:paraId="23D5A6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药品追溯、药品风险防控</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制度。</w:t>
      </w:r>
    </w:p>
    <w:p w14:paraId="4F48C7F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w:t>
      </w:r>
      <w:r>
        <w:rPr>
          <w:rFonts w:hint="eastAsia"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连锁总部</w:t>
      </w:r>
      <w:r>
        <w:rPr>
          <w:rFonts w:hint="default" w:ascii="Times New Roman" w:hAnsi="Times New Roman" w:eastAsia="仿宋_GB2312" w:cs="Times New Roman"/>
          <w:color w:val="auto"/>
          <w:sz w:val="32"/>
          <w:szCs w:val="32"/>
        </w:rPr>
        <w:t>应制定</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操作规程，包括</w:t>
      </w:r>
      <w:r>
        <w:rPr>
          <w:rFonts w:hint="default" w:ascii="Times New Roman" w:hAnsi="Times New Roman" w:eastAsia="仿宋_GB2312" w:cs="Times New Roman"/>
          <w:color w:val="auto"/>
          <w:sz w:val="32"/>
          <w:szCs w:val="32"/>
          <w:lang w:eastAsia="zh-CN"/>
        </w:rPr>
        <w:t>但不限于</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药品</w:t>
      </w:r>
      <w:r>
        <w:rPr>
          <w:rFonts w:hint="eastAsia" w:ascii="Times New Roman" w:hAnsi="Times New Roman" w:eastAsia="仿宋_GB2312" w:cs="Times New Roman"/>
          <w:color w:val="auto"/>
          <w:sz w:val="32"/>
          <w:szCs w:val="32"/>
          <w:lang w:eastAsia="zh-CN"/>
        </w:rPr>
        <w:t>验收、出库、上架、</w:t>
      </w:r>
      <w:r>
        <w:rPr>
          <w:rFonts w:hint="default" w:ascii="Times New Roman" w:hAnsi="Times New Roman" w:eastAsia="仿宋_GB2312" w:cs="Times New Roman"/>
          <w:color w:val="auto"/>
          <w:sz w:val="32"/>
          <w:szCs w:val="32"/>
        </w:rPr>
        <w:t>养护</w:t>
      </w:r>
      <w:r>
        <w:rPr>
          <w:rFonts w:hint="eastAsia" w:ascii="Times New Roman" w:hAnsi="Times New Roman" w:eastAsia="仿宋_GB2312" w:cs="Times New Roman"/>
          <w:color w:val="auto"/>
          <w:sz w:val="32"/>
          <w:szCs w:val="32"/>
          <w:lang w:eastAsia="zh-CN"/>
        </w:rPr>
        <w:t>、补货、分拣、扫码、打包、封口、贴签、取药、配送及计算机系统管理、药品追溯等</w:t>
      </w:r>
      <w:r>
        <w:rPr>
          <w:rFonts w:hint="default" w:ascii="Times New Roman" w:hAnsi="Times New Roman" w:eastAsia="仿宋_GB2312" w:cs="Times New Roman"/>
          <w:color w:val="auto"/>
          <w:sz w:val="32"/>
          <w:szCs w:val="32"/>
        </w:rPr>
        <w:t>操作规程。</w:t>
      </w:r>
    </w:p>
    <w:p w14:paraId="7DF5B7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十</w:t>
      </w:r>
      <w:r>
        <w:rPr>
          <w:rFonts w:hint="eastAsia" w:ascii="Times New Roman" w:hAnsi="Times New Roman" w:eastAsia="仿宋_GB2312" w:cs="Times New Roman"/>
          <w:b/>
          <w:bCs/>
          <w:color w:val="000000"/>
          <w:sz w:val="32"/>
          <w:szCs w:val="32"/>
          <w:lang w:eastAsia="zh-CN"/>
        </w:rPr>
        <w:t>五</w:t>
      </w:r>
      <w:r>
        <w:rPr>
          <w:rFonts w:hint="default" w:ascii="Times New Roman" w:hAnsi="Times New Roman" w:eastAsia="仿宋_GB2312" w:cs="Times New Roman"/>
          <w:b/>
          <w:bCs/>
          <w:color w:val="000000"/>
          <w:sz w:val="32"/>
          <w:szCs w:val="32"/>
        </w:rPr>
        <w:t xml:space="preserve">条 </w:t>
      </w:r>
      <w:r>
        <w:rPr>
          <w:rFonts w:hint="default" w:ascii="Times New Roman" w:hAnsi="Times New Roman" w:eastAsia="仿宋_GB2312" w:cs="Times New Roman"/>
          <w:color w:val="000000"/>
          <w:sz w:val="32"/>
          <w:szCs w:val="32"/>
        </w:rPr>
        <w:t>连锁</w:t>
      </w:r>
      <w:r>
        <w:rPr>
          <w:rFonts w:hint="eastAsia" w:ascii="Times New Roman" w:hAnsi="Times New Roman" w:eastAsia="仿宋_GB2312" w:cs="Times New Roman"/>
          <w:color w:val="000000"/>
          <w:sz w:val="32"/>
          <w:szCs w:val="32"/>
          <w:lang w:eastAsia="zh-CN"/>
        </w:rPr>
        <w:t>总部</w:t>
      </w:r>
      <w:r>
        <w:rPr>
          <w:rFonts w:hint="default" w:ascii="Times New Roman" w:hAnsi="Times New Roman" w:eastAsia="仿宋_GB2312" w:cs="Times New Roman"/>
          <w:color w:val="000000"/>
          <w:sz w:val="32"/>
          <w:szCs w:val="32"/>
        </w:rPr>
        <w:t>应建立</w:t>
      </w:r>
      <w:r>
        <w:rPr>
          <w:rFonts w:hint="eastAsia" w:ascii="Times New Roman" w:hAnsi="Times New Roman" w:eastAsia="仿宋_GB2312" w:cs="Times New Roman"/>
          <w:color w:val="000000"/>
          <w:sz w:val="32"/>
          <w:szCs w:val="32"/>
          <w:lang w:eastAsia="zh-CN"/>
        </w:rPr>
        <w:t>智能储配仓</w:t>
      </w:r>
      <w:r>
        <w:rPr>
          <w:rFonts w:hint="default" w:ascii="Times New Roman" w:hAnsi="Times New Roman" w:eastAsia="仿宋_GB2312" w:cs="Times New Roman"/>
          <w:color w:val="000000"/>
          <w:sz w:val="32"/>
          <w:szCs w:val="32"/>
        </w:rPr>
        <w:t>药品</w:t>
      </w:r>
      <w:r>
        <w:rPr>
          <w:rFonts w:hint="eastAsia" w:ascii="Times New Roman" w:hAnsi="Times New Roman" w:eastAsia="仿宋_GB2312" w:cs="Times New Roman"/>
          <w:color w:val="000000"/>
          <w:sz w:val="32"/>
          <w:szCs w:val="32"/>
          <w:lang w:eastAsia="zh-CN"/>
        </w:rPr>
        <w:t>管理全过程</w:t>
      </w:r>
      <w:r>
        <w:rPr>
          <w:rFonts w:hint="default" w:ascii="Times New Roman" w:hAnsi="Times New Roman" w:eastAsia="仿宋_GB2312" w:cs="Times New Roman"/>
          <w:color w:val="000000"/>
          <w:sz w:val="32"/>
          <w:szCs w:val="32"/>
        </w:rPr>
        <w:t>相关记录，做到真实、完整、准确、有效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记录及相关凭证应当至少保存</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且不少于超过药品有效期后一年</w:t>
      </w:r>
      <w:r>
        <w:rPr>
          <w:rFonts w:hint="default" w:ascii="Times New Roman" w:hAnsi="Times New Roman" w:eastAsia="仿宋_GB2312" w:cs="Times New Roman"/>
          <w:color w:val="000000"/>
          <w:sz w:val="32"/>
          <w:szCs w:val="32"/>
        </w:rPr>
        <w:t>。</w:t>
      </w:r>
    </w:p>
    <w:p w14:paraId="36A5AFF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val="0"/>
          <w:bCs w:val="0"/>
          <w:color w:val="auto"/>
          <w:sz w:val="32"/>
          <w:szCs w:val="32"/>
        </w:rPr>
        <w:t>连锁总部</w:t>
      </w:r>
      <w:r>
        <w:rPr>
          <w:rFonts w:hint="eastAsia" w:ascii="Times New Roman" w:hAnsi="Times New Roman" w:eastAsia="仿宋_GB2312" w:cs="Times New Roman"/>
          <w:b w:val="0"/>
          <w:bCs w:val="0"/>
          <w:color w:val="auto"/>
          <w:sz w:val="32"/>
          <w:szCs w:val="32"/>
          <w:lang w:eastAsia="zh-CN"/>
        </w:rPr>
        <w:t>应当将连锁门店药品网络销售行为纳入</w:t>
      </w:r>
      <w:r>
        <w:rPr>
          <w:rFonts w:hint="eastAsia" w:ascii="Times New Roman" w:hAnsi="Times New Roman" w:eastAsia="仿宋_GB2312" w:cs="Times New Roman"/>
          <w:color w:val="auto"/>
          <w:sz w:val="32"/>
          <w:szCs w:val="32"/>
          <w:lang w:eastAsia="zh-CN"/>
        </w:rPr>
        <w:t>智能储配仓质量管理体系，远程审方中心执业药师应当24小时在线审方，对经过审核符合规定的药品网络销售订单通过智能储配仓进行药品配送服务</w:t>
      </w:r>
      <w:r>
        <w:rPr>
          <w:rFonts w:hint="default" w:ascii="Times New Roman" w:hAnsi="Times New Roman" w:eastAsia="仿宋_GB2312" w:cs="Times New Roman"/>
          <w:color w:val="auto"/>
          <w:sz w:val="32"/>
          <w:szCs w:val="32"/>
        </w:rPr>
        <w:t>。</w:t>
      </w:r>
    </w:p>
    <w:p w14:paraId="1F8E64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七</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b w:val="0"/>
          <w:bCs w:val="0"/>
          <w:color w:val="auto"/>
          <w:sz w:val="32"/>
          <w:szCs w:val="32"/>
        </w:rPr>
        <w:t>连锁总部应建立智能储配仓信息化管理平台</w:t>
      </w:r>
      <w:r>
        <w:rPr>
          <w:rFonts w:hint="eastAsia" w:ascii="Times New Roman" w:hAnsi="Times New Roman" w:eastAsia="仿宋_GB2312" w:cs="Times New Roman"/>
          <w:b w:val="0"/>
          <w:bCs w:val="0"/>
          <w:color w:val="auto"/>
          <w:sz w:val="32"/>
          <w:szCs w:val="32"/>
          <w:lang w:eastAsia="zh-CN"/>
        </w:rPr>
        <w:t>或者</w:t>
      </w:r>
      <w:r>
        <w:rPr>
          <w:rFonts w:hint="eastAsia" w:ascii="Times New Roman" w:hAnsi="Times New Roman" w:eastAsia="仿宋_GB2312" w:cs="Times New Roman"/>
          <w:color w:val="auto"/>
          <w:sz w:val="32"/>
          <w:szCs w:val="32"/>
          <w:lang w:eastAsia="zh-CN"/>
        </w:rPr>
        <w:t>纳入连锁总部计算机系统进行管理，</w:t>
      </w:r>
      <w:r>
        <w:rPr>
          <w:rFonts w:hint="eastAsia" w:ascii="Times New Roman" w:hAnsi="Times New Roman" w:eastAsia="仿宋_GB2312" w:cs="Times New Roman"/>
          <w:color w:val="auto"/>
          <w:sz w:val="32"/>
          <w:szCs w:val="32"/>
        </w:rPr>
        <w:t>具备</w:t>
      </w:r>
      <w:r>
        <w:rPr>
          <w:rFonts w:hint="eastAsia" w:ascii="Times New Roman" w:hAnsi="Times New Roman" w:eastAsia="仿宋_GB2312" w:cs="Times New Roman"/>
          <w:color w:val="auto"/>
          <w:sz w:val="32"/>
          <w:szCs w:val="32"/>
          <w:lang w:eastAsia="zh-CN"/>
        </w:rPr>
        <w:t>药品网络销售管理、采购</w:t>
      </w:r>
      <w:r>
        <w:rPr>
          <w:rFonts w:hint="eastAsia" w:ascii="Times New Roman" w:hAnsi="Times New Roman" w:eastAsia="仿宋_GB2312" w:cs="Times New Roman"/>
          <w:color w:val="auto"/>
          <w:sz w:val="32"/>
          <w:szCs w:val="32"/>
        </w:rPr>
        <w:t>仓储</w:t>
      </w:r>
      <w:r>
        <w:rPr>
          <w:rFonts w:hint="eastAsia" w:ascii="Times New Roman" w:hAnsi="Times New Roman" w:eastAsia="仿宋_GB2312" w:cs="Times New Roman"/>
          <w:color w:val="auto"/>
          <w:sz w:val="32"/>
          <w:szCs w:val="32"/>
          <w:lang w:eastAsia="zh-CN"/>
        </w:rPr>
        <w:t>配送</w:t>
      </w:r>
      <w:r>
        <w:rPr>
          <w:rFonts w:hint="eastAsia" w:ascii="Times New Roman" w:hAnsi="Times New Roman" w:eastAsia="仿宋_GB2312" w:cs="Times New Roman"/>
          <w:color w:val="auto"/>
          <w:sz w:val="32"/>
          <w:szCs w:val="32"/>
        </w:rPr>
        <w:t>管理、温湿度</w:t>
      </w:r>
      <w:r>
        <w:rPr>
          <w:rFonts w:hint="eastAsia" w:ascii="Times New Roman" w:hAnsi="Times New Roman" w:eastAsia="仿宋_GB2312" w:cs="Times New Roman"/>
          <w:color w:val="auto"/>
          <w:sz w:val="32"/>
          <w:szCs w:val="32"/>
          <w:lang w:val="en-US" w:eastAsia="zh-CN"/>
        </w:rPr>
        <w:t>自动</w:t>
      </w:r>
      <w:r>
        <w:rPr>
          <w:rFonts w:hint="eastAsia" w:ascii="Times New Roman" w:hAnsi="Times New Roman" w:eastAsia="仿宋_GB2312" w:cs="Times New Roman"/>
          <w:color w:val="auto"/>
          <w:sz w:val="32"/>
          <w:szCs w:val="32"/>
        </w:rPr>
        <w:t>监测</w:t>
      </w:r>
      <w:r>
        <w:rPr>
          <w:rFonts w:hint="eastAsia" w:ascii="Times New Roman" w:hAnsi="Times New Roman" w:eastAsia="仿宋_GB2312" w:cs="Times New Roman"/>
          <w:color w:val="auto"/>
          <w:sz w:val="32"/>
          <w:szCs w:val="32"/>
          <w:lang w:eastAsia="zh-CN"/>
        </w:rPr>
        <w:t>调控</w:t>
      </w:r>
      <w:r>
        <w:rPr>
          <w:rFonts w:hint="eastAsia" w:ascii="Times New Roman" w:hAnsi="Times New Roman" w:eastAsia="仿宋_GB2312" w:cs="Times New Roman"/>
          <w:color w:val="auto"/>
          <w:sz w:val="32"/>
          <w:szCs w:val="32"/>
        </w:rPr>
        <w:t>、药品</w:t>
      </w:r>
      <w:r>
        <w:rPr>
          <w:rFonts w:hint="eastAsia" w:ascii="Times New Roman" w:hAnsi="Times New Roman" w:eastAsia="仿宋_GB2312" w:cs="Times New Roman"/>
          <w:color w:val="auto"/>
          <w:sz w:val="32"/>
          <w:szCs w:val="32"/>
          <w:lang w:eastAsia="zh-CN"/>
        </w:rPr>
        <w:t>扫码</w:t>
      </w:r>
      <w:r>
        <w:rPr>
          <w:rFonts w:hint="eastAsia" w:ascii="Times New Roman" w:hAnsi="Times New Roman" w:eastAsia="仿宋_GB2312" w:cs="Times New Roman"/>
          <w:color w:val="auto"/>
          <w:sz w:val="32"/>
          <w:szCs w:val="32"/>
        </w:rPr>
        <w:t>追溯等功能</w:t>
      </w:r>
      <w:r>
        <w:rPr>
          <w:rFonts w:hint="eastAsia" w:ascii="Times New Roman" w:hAnsi="Times New Roman" w:eastAsia="仿宋_GB2312" w:cs="Times New Roman"/>
          <w:color w:val="auto"/>
          <w:sz w:val="32"/>
          <w:szCs w:val="32"/>
          <w:lang w:eastAsia="zh-CN"/>
        </w:rPr>
        <w:t>，并向药品监管部门提供采购验收、仓储配送、扫码追溯</w:t>
      </w:r>
      <w:r>
        <w:rPr>
          <w:rFonts w:hint="default" w:ascii="Times New Roman" w:hAnsi="Times New Roman" w:eastAsia="仿宋_GB2312" w:cs="Times New Roman"/>
          <w:b w:val="0"/>
          <w:bCs w:val="0"/>
          <w:color w:val="auto"/>
          <w:sz w:val="32"/>
          <w:szCs w:val="32"/>
        </w:rPr>
        <w:t>及温湿度监测调控、视频监控、联网报警等动态信息</w:t>
      </w:r>
      <w:r>
        <w:rPr>
          <w:rFonts w:hint="eastAsia" w:ascii="Times New Roman" w:hAnsi="Times New Roman" w:eastAsia="仿宋_GB2312" w:cs="Times New Roman"/>
          <w:color w:val="auto"/>
          <w:sz w:val="32"/>
          <w:szCs w:val="32"/>
          <w:lang w:eastAsia="zh-CN"/>
        </w:rPr>
        <w:t>。</w:t>
      </w:r>
    </w:p>
    <w:p w14:paraId="6C2995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p>
    <w:p w14:paraId="1E043DC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章 </w:t>
      </w:r>
      <w:r>
        <w:rPr>
          <w:rFonts w:hint="eastAsia" w:ascii="Times New Roman" w:hAnsi="Times New Roman" w:eastAsia="黑体" w:cs="Times New Roman"/>
          <w:color w:val="auto"/>
          <w:sz w:val="32"/>
          <w:szCs w:val="32"/>
          <w:lang w:eastAsia="zh-CN"/>
        </w:rPr>
        <w:t>机构和</w:t>
      </w:r>
      <w:r>
        <w:rPr>
          <w:rFonts w:hint="default" w:ascii="Times New Roman" w:hAnsi="Times New Roman" w:eastAsia="黑体" w:cs="Times New Roman"/>
          <w:color w:val="auto"/>
          <w:sz w:val="32"/>
          <w:szCs w:val="32"/>
        </w:rPr>
        <w:t>人员要求</w:t>
      </w:r>
    </w:p>
    <w:p w14:paraId="3E31C0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设置</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连锁</w:t>
      </w:r>
      <w:r>
        <w:rPr>
          <w:rFonts w:hint="eastAsia" w:ascii="Times New Roman" w:hAnsi="Times New Roman" w:eastAsia="仿宋_GB2312" w:cs="Times New Roman"/>
          <w:color w:val="auto"/>
          <w:sz w:val="32"/>
          <w:szCs w:val="32"/>
          <w:lang w:eastAsia="zh-CN"/>
        </w:rPr>
        <w:t>总部</w:t>
      </w:r>
      <w:r>
        <w:rPr>
          <w:rFonts w:hint="default" w:ascii="Times New Roman" w:hAnsi="Times New Roman" w:eastAsia="仿宋_GB2312" w:cs="Times New Roman"/>
          <w:color w:val="auto"/>
          <w:sz w:val="32"/>
          <w:szCs w:val="32"/>
        </w:rPr>
        <w:t>应当</w:t>
      </w:r>
      <w:r>
        <w:rPr>
          <w:rFonts w:hint="eastAsia" w:ascii="Times New Roman" w:hAnsi="Times New Roman" w:eastAsia="仿宋_GB2312" w:cs="Times New Roman"/>
          <w:color w:val="auto"/>
          <w:sz w:val="32"/>
          <w:szCs w:val="32"/>
          <w:lang w:eastAsia="zh-CN"/>
        </w:rPr>
        <w:t>设立智能储配仓管理部门，</w:t>
      </w:r>
      <w:r>
        <w:rPr>
          <w:rFonts w:hint="default" w:ascii="Times New Roman" w:hAnsi="Times New Roman" w:eastAsia="仿宋_GB2312" w:cs="Times New Roman"/>
          <w:color w:val="auto"/>
          <w:sz w:val="32"/>
          <w:szCs w:val="32"/>
        </w:rPr>
        <w:t>配备具有</w:t>
      </w:r>
      <w:r>
        <w:rPr>
          <w:rFonts w:hint="eastAsia" w:ascii="Times New Roman" w:hAnsi="Times New Roman" w:eastAsia="仿宋_GB2312" w:cs="Times New Roman"/>
          <w:color w:val="auto"/>
          <w:sz w:val="32"/>
          <w:szCs w:val="32"/>
          <w:lang w:eastAsia="zh-CN"/>
        </w:rPr>
        <w:t>药学相关专业本科学历或者</w:t>
      </w:r>
      <w:r>
        <w:rPr>
          <w:rFonts w:hint="default" w:ascii="Times New Roman" w:hAnsi="Times New Roman" w:eastAsia="仿宋_GB2312" w:cs="Times New Roman"/>
          <w:color w:val="auto"/>
          <w:sz w:val="32"/>
          <w:szCs w:val="32"/>
        </w:rPr>
        <w:t>执业药师资格的</w:t>
      </w:r>
      <w:r>
        <w:rPr>
          <w:rFonts w:hint="eastAsia" w:ascii="Times New Roman" w:hAnsi="Times New Roman" w:eastAsia="仿宋_GB2312" w:cs="Times New Roman"/>
          <w:color w:val="auto"/>
          <w:sz w:val="32"/>
          <w:szCs w:val="32"/>
          <w:lang w:eastAsia="zh-CN"/>
        </w:rPr>
        <w:t>专职</w:t>
      </w:r>
      <w:r>
        <w:rPr>
          <w:rFonts w:hint="default" w:ascii="Times New Roman" w:hAnsi="Times New Roman" w:eastAsia="仿宋_GB2312" w:cs="Times New Roman"/>
          <w:color w:val="auto"/>
          <w:sz w:val="32"/>
          <w:szCs w:val="32"/>
        </w:rPr>
        <w:t>管理人员，并纳入企业质量管理体系，履行《药品经营质量管理规范》</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规定的职责。</w:t>
      </w:r>
    </w:p>
    <w:p w14:paraId="230A46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智能储配仓管理部门人员和专职</w:t>
      </w:r>
      <w:r>
        <w:rPr>
          <w:rFonts w:hint="default" w:ascii="Times New Roman" w:hAnsi="Times New Roman" w:eastAsia="仿宋_GB2312" w:cs="Times New Roman"/>
          <w:color w:val="auto"/>
          <w:sz w:val="32"/>
          <w:szCs w:val="32"/>
        </w:rPr>
        <w:t>管理人员不得有</w:t>
      </w:r>
      <w:r>
        <w:rPr>
          <w:rFonts w:hint="default" w:ascii="Times New Roman" w:hAnsi="Times New Roman" w:eastAsia="仿宋_GB2312" w:cs="Times New Roman"/>
          <w:color w:val="auto"/>
          <w:sz w:val="32"/>
          <w:szCs w:val="32"/>
          <w:lang w:eastAsia="zh-CN"/>
        </w:rPr>
        <w:t>相关法律法规禁止从业的情形。人员数量与</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lang w:eastAsia="zh-CN"/>
        </w:rPr>
        <w:t>规模</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管理要求相适应。</w:t>
      </w:r>
    </w:p>
    <w:p w14:paraId="7D41B1A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十九</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内药品由</w:t>
      </w:r>
      <w:r>
        <w:rPr>
          <w:rFonts w:hint="eastAsia" w:ascii="Times New Roman" w:hAnsi="Times New Roman" w:eastAsia="仿宋_GB2312" w:cs="Times New Roman"/>
          <w:color w:val="auto"/>
          <w:sz w:val="32"/>
          <w:szCs w:val="32"/>
          <w:lang w:eastAsia="zh-CN"/>
        </w:rPr>
        <w:t>连锁总部相关部门和人员</w:t>
      </w:r>
      <w:r>
        <w:rPr>
          <w:rFonts w:hint="default" w:ascii="Times New Roman" w:hAnsi="Times New Roman" w:eastAsia="仿宋_GB2312" w:cs="Times New Roman"/>
          <w:color w:val="auto"/>
          <w:sz w:val="32"/>
          <w:szCs w:val="32"/>
        </w:rPr>
        <w:t>统一采购</w:t>
      </w:r>
      <w:r>
        <w:rPr>
          <w:rFonts w:hint="eastAsia" w:ascii="Times New Roman" w:hAnsi="Times New Roman" w:eastAsia="仿宋_GB2312" w:cs="Times New Roman"/>
          <w:color w:val="auto"/>
          <w:sz w:val="32"/>
          <w:szCs w:val="32"/>
          <w:lang w:eastAsia="zh-CN"/>
        </w:rPr>
        <w:t>、验收、出库、上架、养护、补货、配送。</w:t>
      </w:r>
      <w:r>
        <w:rPr>
          <w:rFonts w:hint="default" w:ascii="Times New Roman" w:hAnsi="Times New Roman" w:eastAsia="仿宋_GB2312" w:cs="Times New Roman"/>
          <w:color w:val="auto"/>
          <w:sz w:val="32"/>
          <w:szCs w:val="32"/>
        </w:rPr>
        <w:t>验收应在企业</w:t>
      </w:r>
      <w:r>
        <w:rPr>
          <w:rFonts w:hint="eastAsia" w:ascii="Times New Roman" w:hAnsi="Times New Roman" w:eastAsia="仿宋_GB2312" w:cs="Times New Roman"/>
          <w:color w:val="auto"/>
          <w:sz w:val="32"/>
          <w:szCs w:val="32"/>
          <w:lang w:eastAsia="zh-CN"/>
        </w:rPr>
        <w:t>仓库（</w:t>
      </w:r>
      <w:r>
        <w:rPr>
          <w:rFonts w:hint="default" w:ascii="Times New Roman" w:hAnsi="Times New Roman" w:eastAsia="仿宋_GB2312" w:cs="Times New Roman"/>
          <w:color w:val="auto"/>
          <w:sz w:val="32"/>
          <w:szCs w:val="32"/>
        </w:rPr>
        <w:t>配送中心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完成，仓库（配送中心）应设置专门</w:t>
      </w:r>
      <w:r>
        <w:rPr>
          <w:rFonts w:hint="eastAsia" w:ascii="Times New Roman" w:hAnsi="Times New Roman" w:eastAsia="仿宋_GB2312" w:cs="Times New Roman"/>
          <w:color w:val="auto"/>
          <w:sz w:val="32"/>
          <w:szCs w:val="32"/>
          <w:lang w:eastAsia="zh-CN"/>
        </w:rPr>
        <w:t>的智能储配仓</w:t>
      </w:r>
      <w:r>
        <w:rPr>
          <w:rFonts w:hint="default" w:ascii="Times New Roman" w:hAnsi="Times New Roman" w:eastAsia="仿宋_GB2312" w:cs="Times New Roman"/>
          <w:color w:val="auto"/>
          <w:sz w:val="32"/>
          <w:szCs w:val="32"/>
        </w:rPr>
        <w:t>药品</w:t>
      </w:r>
      <w:r>
        <w:rPr>
          <w:rFonts w:hint="eastAsia" w:ascii="Times New Roman" w:hAnsi="Times New Roman" w:eastAsia="仿宋_GB2312" w:cs="Times New Roman"/>
          <w:color w:val="auto"/>
          <w:sz w:val="32"/>
          <w:szCs w:val="32"/>
          <w:lang w:eastAsia="zh-CN"/>
        </w:rPr>
        <w:t>出库复核、</w:t>
      </w:r>
      <w:r>
        <w:rPr>
          <w:rFonts w:hint="eastAsia" w:ascii="Times New Roman" w:hAnsi="Times New Roman" w:eastAsia="仿宋_GB2312" w:cs="Times New Roman"/>
          <w:color w:val="auto"/>
          <w:sz w:val="32"/>
          <w:szCs w:val="32"/>
          <w:highlight w:val="none"/>
          <w:lang w:eastAsia="zh-CN"/>
        </w:rPr>
        <w:t>发货</w:t>
      </w:r>
      <w:r>
        <w:rPr>
          <w:rFonts w:hint="default" w:ascii="Times New Roman" w:hAnsi="Times New Roman" w:eastAsia="仿宋_GB2312" w:cs="Times New Roman"/>
          <w:color w:val="auto"/>
          <w:sz w:val="32"/>
          <w:szCs w:val="32"/>
        </w:rPr>
        <w:t>区域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配备专人负责</w:t>
      </w:r>
      <w:r>
        <w:rPr>
          <w:rFonts w:hint="eastAsia" w:ascii="Times New Roman" w:hAnsi="Times New Roman" w:eastAsia="仿宋_GB2312" w:cs="Times New Roman"/>
          <w:color w:val="auto"/>
          <w:sz w:val="32"/>
          <w:szCs w:val="32"/>
          <w:highlight w:val="none"/>
          <w:lang w:eastAsia="zh-CN"/>
        </w:rPr>
        <w:t>复核、发货</w:t>
      </w:r>
      <w:r>
        <w:rPr>
          <w:rFonts w:hint="default" w:ascii="Times New Roman" w:hAnsi="Times New Roman" w:eastAsia="仿宋_GB2312" w:cs="Times New Roman"/>
          <w:color w:val="auto"/>
          <w:sz w:val="32"/>
          <w:szCs w:val="32"/>
        </w:rPr>
        <w:t>。</w:t>
      </w:r>
    </w:p>
    <w:p w14:paraId="63B106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 xml:space="preserve">第二十条 </w:t>
      </w:r>
      <w:r>
        <w:rPr>
          <w:rFonts w:hint="eastAsia" w:ascii="Times New Roman" w:hAnsi="Times New Roman" w:eastAsia="仿宋_GB2312" w:cs="Times New Roman"/>
          <w:color w:val="auto"/>
          <w:sz w:val="32"/>
          <w:szCs w:val="32"/>
          <w:lang w:eastAsia="zh-CN"/>
        </w:rPr>
        <w:t>连锁门店执业药师或者连锁总部</w:t>
      </w:r>
      <w:r>
        <w:rPr>
          <w:rFonts w:hint="default" w:ascii="Times New Roman" w:hAnsi="Times New Roman" w:eastAsia="仿宋_GB2312" w:cs="Times New Roman"/>
          <w:color w:val="auto"/>
          <w:sz w:val="32"/>
          <w:szCs w:val="32"/>
          <w:lang w:eastAsia="zh-CN"/>
        </w:rPr>
        <w:t>远程审方中心执业药师</w:t>
      </w:r>
      <w:r>
        <w:rPr>
          <w:rFonts w:hint="eastAsia" w:ascii="Times New Roman" w:hAnsi="Times New Roman" w:eastAsia="仿宋_GB2312" w:cs="Times New Roman"/>
          <w:color w:val="auto"/>
          <w:sz w:val="32"/>
          <w:szCs w:val="32"/>
          <w:lang w:eastAsia="zh-CN"/>
        </w:rPr>
        <w:t>，应当按照规定对连锁门店网络销售药品提供药事服务。</w:t>
      </w:r>
    </w:p>
    <w:p w14:paraId="66A6260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二十一</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szCs w:val="32"/>
          <w:lang w:eastAsia="zh-CN"/>
        </w:rPr>
        <w:t>设置</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连锁总部</w:t>
      </w:r>
      <w:r>
        <w:rPr>
          <w:rFonts w:hint="default" w:ascii="Times New Roman" w:hAnsi="Times New Roman" w:eastAsia="仿宋_GB2312" w:cs="Times New Roman"/>
          <w:color w:val="auto"/>
          <w:sz w:val="32"/>
          <w:szCs w:val="32"/>
        </w:rPr>
        <w:t>应配备专门人员</w:t>
      </w:r>
      <w:r>
        <w:rPr>
          <w:rFonts w:hint="eastAsia" w:ascii="Times New Roman" w:hAnsi="Times New Roman" w:eastAsia="仿宋_GB2312" w:cs="Times New Roman"/>
          <w:color w:val="auto"/>
          <w:sz w:val="32"/>
          <w:szCs w:val="32"/>
          <w:lang w:eastAsia="zh-CN"/>
        </w:rPr>
        <w:t>负责售后管理，</w:t>
      </w:r>
      <w:r>
        <w:rPr>
          <w:rFonts w:hint="default" w:ascii="Times New Roman" w:hAnsi="Times New Roman" w:eastAsia="仿宋_GB2312" w:cs="Times New Roman"/>
          <w:color w:val="auto"/>
          <w:sz w:val="32"/>
          <w:szCs w:val="32"/>
        </w:rPr>
        <w:t>及时处理</w:t>
      </w:r>
      <w:r>
        <w:rPr>
          <w:rFonts w:hint="eastAsia" w:ascii="Times New Roman" w:hAnsi="Times New Roman" w:eastAsia="仿宋_GB2312" w:cs="Times New Roman"/>
          <w:color w:val="auto"/>
          <w:sz w:val="32"/>
          <w:szCs w:val="32"/>
          <w:lang w:val="en-US" w:eastAsia="zh-CN"/>
        </w:rPr>
        <w:t>消费者</w:t>
      </w:r>
      <w:r>
        <w:rPr>
          <w:rFonts w:hint="default" w:ascii="Times New Roman" w:hAnsi="Times New Roman" w:eastAsia="仿宋_GB2312" w:cs="Times New Roman"/>
          <w:color w:val="auto"/>
          <w:sz w:val="32"/>
          <w:szCs w:val="32"/>
        </w:rPr>
        <w:t>投</w:t>
      </w:r>
      <w:r>
        <w:rPr>
          <w:rFonts w:hint="default" w:ascii="Times New Roman" w:hAnsi="Times New Roman" w:eastAsia="仿宋_GB2312" w:cs="Times New Roman"/>
          <w:color w:val="auto"/>
          <w:sz w:val="32"/>
          <w:szCs w:val="32"/>
          <w:lang w:eastAsia="zh-CN"/>
        </w:rPr>
        <w:t>诉、</w:t>
      </w:r>
      <w:r>
        <w:rPr>
          <w:rFonts w:hint="eastAsia" w:ascii="Times New Roman" w:hAnsi="Times New Roman" w:eastAsia="仿宋_GB2312" w:cs="Times New Roman"/>
          <w:color w:val="auto"/>
          <w:sz w:val="32"/>
          <w:szCs w:val="32"/>
          <w:lang w:eastAsia="zh-CN"/>
        </w:rPr>
        <w:t>提供</w:t>
      </w:r>
      <w:r>
        <w:rPr>
          <w:rFonts w:hint="default" w:ascii="Times New Roman" w:hAnsi="Times New Roman" w:eastAsia="仿宋_GB2312" w:cs="Times New Roman"/>
          <w:color w:val="auto"/>
          <w:sz w:val="32"/>
          <w:szCs w:val="32"/>
          <w:lang w:eastAsia="zh-CN"/>
        </w:rPr>
        <w:t>售后服务。</w:t>
      </w:r>
    </w:p>
    <w:p w14:paraId="47D574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p>
    <w:p w14:paraId="7E0F8E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p>
    <w:p w14:paraId="1C59BA3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设施设备</w:t>
      </w:r>
    </w:p>
    <w:p w14:paraId="77F3DC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智能储配仓面积不少于</w:t>
      </w:r>
      <w:r>
        <w:rPr>
          <w:rFonts w:hint="eastAsia" w:ascii="Times New Roman" w:hAnsi="Times New Roman" w:eastAsia="仿宋_GB2312" w:cs="Times New Roman"/>
          <w:color w:val="auto"/>
          <w:sz w:val="32"/>
          <w:szCs w:val="32"/>
          <w:lang w:val="en-US" w:eastAsia="zh-CN"/>
        </w:rPr>
        <w:t>20平方米或者容积不少于60立方米，</w:t>
      </w:r>
      <w:r>
        <w:rPr>
          <w:rFonts w:hint="default" w:ascii="Times New Roman" w:hAnsi="Times New Roman" w:eastAsia="仿宋_GB2312" w:cs="Times New Roman"/>
          <w:color w:val="auto"/>
          <w:sz w:val="32"/>
          <w:szCs w:val="32"/>
        </w:rPr>
        <w:t>应设置在固定的场所内，</w:t>
      </w:r>
      <w:r>
        <w:rPr>
          <w:rFonts w:hint="eastAsia"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保持清洁卫生、避免阳光直射</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雨淋，具备保证药品质量的存放条件和措施。场所</w:t>
      </w:r>
      <w:r>
        <w:rPr>
          <w:rFonts w:hint="eastAsia" w:ascii="Times New Roman" w:hAnsi="Times New Roman" w:eastAsia="仿宋_GB2312" w:cs="Times New Roman"/>
          <w:color w:val="auto"/>
          <w:sz w:val="32"/>
          <w:szCs w:val="32"/>
          <w:lang w:eastAsia="zh-CN"/>
        </w:rPr>
        <w:t>规划用途符合《四川省药品零售经营监督管理办法》的相关规定。</w:t>
      </w:r>
    </w:p>
    <w:p w14:paraId="0FB26AA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eastAsia="zh-CN"/>
        </w:rPr>
        <w:t>二十三</w:t>
      </w:r>
      <w:r>
        <w:rPr>
          <w:rFonts w:hint="default" w:ascii="Times New Roman" w:hAnsi="Times New Roman" w:eastAsia="仿宋_GB2312" w:cs="Times New Roman"/>
          <w:b/>
          <w:bCs/>
          <w:color w:val="auto"/>
          <w:sz w:val="32"/>
          <w:szCs w:val="32"/>
          <w:lang w:eastAsia="zh-CN"/>
        </w:rPr>
        <w:t xml:space="preserve">条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lang w:eastAsia="zh-CN"/>
        </w:rPr>
        <w:t>内药品应按照《中华人民共和国药典》规定及药品包装标</w:t>
      </w:r>
      <w:r>
        <w:rPr>
          <w:rFonts w:hint="eastAsia" w:ascii="Times New Roman" w:hAnsi="Times New Roman" w:eastAsia="仿宋_GB2312" w:cs="Times New Roman"/>
          <w:color w:val="auto"/>
          <w:sz w:val="32"/>
          <w:szCs w:val="32"/>
          <w:lang w:val="en-US" w:eastAsia="zh-CN"/>
        </w:rPr>
        <w:t>示</w:t>
      </w:r>
      <w:r>
        <w:rPr>
          <w:rFonts w:hint="default" w:ascii="Times New Roman" w:hAnsi="Times New Roman" w:eastAsia="仿宋_GB2312" w:cs="Times New Roman"/>
          <w:color w:val="auto"/>
          <w:sz w:val="32"/>
          <w:szCs w:val="32"/>
          <w:lang w:eastAsia="zh-CN"/>
        </w:rPr>
        <w:t>的贮藏条件存放。</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lang w:eastAsia="zh-CN"/>
        </w:rPr>
        <w:t>内部环境应当符合《药品经营质量管理规范》要求，</w:t>
      </w:r>
      <w:r>
        <w:rPr>
          <w:rFonts w:hint="eastAsia" w:ascii="Times New Roman" w:hAnsi="Times New Roman" w:eastAsia="仿宋_GB2312" w:cs="Times New Roman"/>
          <w:color w:val="auto"/>
          <w:sz w:val="32"/>
          <w:szCs w:val="32"/>
          <w:lang w:eastAsia="zh-CN"/>
        </w:rPr>
        <w:t>温湿度</w:t>
      </w:r>
      <w:r>
        <w:rPr>
          <w:rFonts w:hint="default" w:ascii="Times New Roman" w:hAnsi="Times New Roman" w:eastAsia="仿宋_GB2312" w:cs="Times New Roman"/>
          <w:color w:val="auto"/>
          <w:sz w:val="32"/>
          <w:szCs w:val="32"/>
          <w:lang w:eastAsia="zh-CN"/>
        </w:rPr>
        <w:t>原则上</w:t>
      </w:r>
      <w:r>
        <w:rPr>
          <w:rFonts w:hint="eastAsia" w:ascii="Times New Roman" w:hAnsi="Times New Roman" w:eastAsia="仿宋_GB2312" w:cs="Times New Roman"/>
          <w:color w:val="auto"/>
          <w:sz w:val="32"/>
          <w:szCs w:val="32"/>
          <w:lang w:eastAsia="zh-CN"/>
        </w:rPr>
        <w:t>按照阴凉库要求</w:t>
      </w:r>
      <w:r>
        <w:rPr>
          <w:rFonts w:hint="default" w:ascii="Times New Roman" w:hAnsi="Times New Roman" w:eastAsia="仿宋_GB2312" w:cs="Times New Roman"/>
          <w:color w:val="auto"/>
          <w:sz w:val="32"/>
          <w:szCs w:val="32"/>
          <w:lang w:eastAsia="zh-CN"/>
        </w:rPr>
        <w:t>控制</w:t>
      </w:r>
      <w:r>
        <w:rPr>
          <w:rFonts w:hint="eastAsia" w:ascii="Times New Roman" w:hAnsi="Times New Roman" w:eastAsia="仿宋_GB2312" w:cs="Times New Roman"/>
          <w:color w:val="auto"/>
          <w:sz w:val="32"/>
          <w:szCs w:val="32"/>
          <w:lang w:eastAsia="zh-CN"/>
        </w:rPr>
        <w:t>（温度</w:t>
      </w:r>
      <w:r>
        <w:rPr>
          <w:rFonts w:hint="default" w:ascii="Times New Roman" w:hAnsi="Times New Roman" w:eastAsia="仿宋_GB2312" w:cs="Times New Roman"/>
          <w:color w:val="auto"/>
          <w:sz w:val="32"/>
          <w:szCs w:val="32"/>
          <w:lang w:eastAsia="zh-CN"/>
        </w:rPr>
        <w:t>10℃-20℃，相对湿度35%-75%</w:t>
      </w:r>
      <w:r>
        <w:rPr>
          <w:rFonts w:hint="eastAsia" w:ascii="Times New Roman" w:hAnsi="Times New Roman" w:eastAsia="仿宋_GB2312" w:cs="Times New Roman"/>
          <w:color w:val="auto"/>
          <w:sz w:val="32"/>
          <w:szCs w:val="32"/>
          <w:lang w:eastAsia="zh-CN"/>
        </w:rPr>
        <w:t>），药品与非药品、内服</w:t>
      </w:r>
      <w:r>
        <w:rPr>
          <w:rFonts w:hint="default" w:ascii="Times New Roman" w:hAnsi="Times New Roman" w:eastAsia="仿宋_GB2312" w:cs="Times New Roman"/>
          <w:color w:val="auto"/>
          <w:sz w:val="32"/>
          <w:szCs w:val="32"/>
          <w:lang w:eastAsia="zh-CN"/>
        </w:rPr>
        <w:t>药与</w:t>
      </w:r>
      <w:r>
        <w:rPr>
          <w:rFonts w:hint="eastAsia" w:ascii="Times New Roman" w:hAnsi="Times New Roman" w:eastAsia="仿宋_GB2312" w:cs="Times New Roman"/>
          <w:color w:val="auto"/>
          <w:sz w:val="32"/>
          <w:szCs w:val="32"/>
          <w:lang w:eastAsia="zh-CN"/>
        </w:rPr>
        <w:t>外用</w:t>
      </w:r>
      <w:r>
        <w:rPr>
          <w:rFonts w:hint="default" w:ascii="Times New Roman" w:hAnsi="Times New Roman" w:eastAsia="仿宋_GB2312" w:cs="Times New Roman"/>
          <w:color w:val="auto"/>
          <w:sz w:val="32"/>
          <w:szCs w:val="32"/>
          <w:lang w:eastAsia="zh-CN"/>
        </w:rPr>
        <w:t>药相对分开存放。</w:t>
      </w:r>
    </w:p>
    <w:p w14:paraId="6D6145E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二十四</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应</w:t>
      </w:r>
      <w:r>
        <w:rPr>
          <w:rFonts w:hint="eastAsia" w:ascii="Times New Roman" w:hAnsi="Times New Roman" w:eastAsia="仿宋_GB2312" w:cs="Times New Roman"/>
          <w:color w:val="auto"/>
          <w:sz w:val="32"/>
          <w:szCs w:val="32"/>
          <w:lang w:eastAsia="zh-CN"/>
        </w:rPr>
        <w:t>配备备用发电机或双回路</w:t>
      </w:r>
      <w:r>
        <w:rPr>
          <w:rFonts w:hint="eastAsia" w:ascii="Times New Roman" w:hAnsi="Times New Roman" w:eastAsia="仿宋_GB2312" w:cs="Times New Roman"/>
          <w:color w:val="auto"/>
          <w:sz w:val="32"/>
          <w:szCs w:val="32"/>
          <w:lang w:val="en-US" w:eastAsia="zh-CN"/>
        </w:rPr>
        <w:t>供电系统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w:t>
      </w:r>
      <w:r>
        <w:rPr>
          <w:rFonts w:hint="eastAsia" w:ascii="Times New Roman" w:hAnsi="Times New Roman" w:eastAsia="仿宋_GB2312" w:cs="Times New Roman"/>
          <w:color w:val="auto"/>
          <w:sz w:val="32"/>
          <w:szCs w:val="32"/>
          <w:lang w:eastAsia="zh-CN"/>
        </w:rPr>
        <w:t>远程监控、联网</w:t>
      </w:r>
      <w:r>
        <w:rPr>
          <w:rFonts w:hint="eastAsia" w:ascii="Times New Roman" w:hAnsi="Times New Roman" w:eastAsia="仿宋_GB2312" w:cs="Times New Roman"/>
          <w:color w:val="auto"/>
          <w:sz w:val="32"/>
          <w:szCs w:val="32"/>
          <w:lang w:val="en-US" w:eastAsia="zh-CN"/>
        </w:rPr>
        <w:t>报警等</w:t>
      </w:r>
      <w:r>
        <w:rPr>
          <w:rFonts w:hint="default" w:ascii="Times New Roman" w:hAnsi="Times New Roman" w:eastAsia="仿宋_GB2312" w:cs="Times New Roman"/>
          <w:color w:val="auto"/>
          <w:sz w:val="32"/>
          <w:szCs w:val="32"/>
        </w:rPr>
        <w:t>安全监控设施，</w:t>
      </w:r>
      <w:r>
        <w:rPr>
          <w:rFonts w:hint="default" w:ascii="Times New Roman" w:hAnsi="Times New Roman" w:eastAsia="仿宋_GB2312" w:cs="Times New Roman"/>
          <w:color w:val="auto"/>
          <w:sz w:val="32"/>
          <w:szCs w:val="32"/>
          <w:lang w:eastAsia="zh-CN"/>
        </w:rPr>
        <w:t>确保能</w:t>
      </w:r>
      <w:r>
        <w:rPr>
          <w:rFonts w:hint="default" w:ascii="Times New Roman" w:hAnsi="Times New Roman" w:eastAsia="仿宋_GB2312" w:cs="Times New Roman"/>
          <w:color w:val="auto"/>
          <w:sz w:val="32"/>
          <w:szCs w:val="32"/>
        </w:rPr>
        <w:t>及时处置安全隐患。</w:t>
      </w:r>
    </w:p>
    <w:p w14:paraId="73C07ABF">
      <w:pPr>
        <w:pStyle w:val="2"/>
        <w:ind w:left="0" w:leftChars="0" w:firstLine="643" w:firstLineChars="20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二十五</w:t>
      </w:r>
      <w:r>
        <w:rPr>
          <w:rFonts w:hint="default" w:ascii="Times New Roman" w:hAnsi="Times New Roman" w:eastAsia="仿宋_GB2312" w:cs="Times New Roman"/>
          <w:b/>
          <w:bCs/>
          <w:color w:val="auto"/>
          <w:sz w:val="32"/>
          <w:szCs w:val="32"/>
        </w:rPr>
        <w:t>条</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智能储配仓</w:t>
      </w:r>
      <w:r>
        <w:rPr>
          <w:rFonts w:hint="eastAsia" w:ascii="Times New Roman" w:hAnsi="Times New Roman" w:eastAsia="仿宋_GB2312" w:cs="Times New Roman"/>
          <w:color w:val="auto"/>
          <w:kern w:val="2"/>
          <w:sz w:val="32"/>
          <w:szCs w:val="32"/>
          <w:lang w:val="en-US" w:eastAsia="zh-CN" w:bidi="ar-SA"/>
        </w:rPr>
        <w:t>应当配备自动识别、上架、分拣、打包、封口、贴签、取药等功能的相关设备。</w:t>
      </w:r>
    </w:p>
    <w:p w14:paraId="3A724D2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二十六</w:t>
      </w:r>
      <w:r>
        <w:rPr>
          <w:rFonts w:hint="default" w:ascii="Times New Roman" w:hAnsi="Times New Roman" w:eastAsia="仿宋_GB2312" w:cs="Times New Roman"/>
          <w:b/>
          <w:bCs/>
          <w:color w:val="auto"/>
          <w:sz w:val="32"/>
          <w:szCs w:val="32"/>
        </w:rPr>
        <w:t>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应配备温湿度自动监测终端，具备</w:t>
      </w:r>
      <w:r>
        <w:rPr>
          <w:rFonts w:hint="eastAsia" w:ascii="Times New Roman" w:hAnsi="Times New Roman" w:eastAsia="仿宋_GB2312" w:cs="Times New Roman"/>
          <w:color w:val="auto"/>
          <w:sz w:val="32"/>
          <w:szCs w:val="32"/>
          <w:lang w:val="en-US" w:eastAsia="zh-CN"/>
        </w:rPr>
        <w:t>监测</w:t>
      </w:r>
      <w:r>
        <w:rPr>
          <w:rFonts w:hint="default" w:ascii="Times New Roman" w:hAnsi="Times New Roman" w:eastAsia="仿宋_GB2312" w:cs="Times New Roman"/>
          <w:color w:val="auto"/>
          <w:sz w:val="32"/>
          <w:szCs w:val="32"/>
        </w:rPr>
        <w:t>显示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记录</w:t>
      </w:r>
      <w:r>
        <w:rPr>
          <w:rFonts w:hint="default" w:ascii="Times New Roman" w:hAnsi="Times New Roman" w:eastAsia="仿宋_GB2312" w:cs="Times New Roman"/>
          <w:color w:val="auto"/>
          <w:sz w:val="32"/>
          <w:szCs w:val="32"/>
        </w:rPr>
        <w:t>存储和读取</w:t>
      </w:r>
      <w:r>
        <w:rPr>
          <w:rFonts w:hint="eastAsia" w:ascii="Times New Roman" w:hAnsi="Times New Roman" w:eastAsia="仿宋_GB2312" w:cs="Times New Roman"/>
          <w:color w:val="auto"/>
          <w:sz w:val="32"/>
          <w:szCs w:val="32"/>
          <w:lang w:val="en-US" w:eastAsia="zh-CN"/>
        </w:rPr>
        <w:t>导出</w:t>
      </w:r>
      <w:r>
        <w:rPr>
          <w:rFonts w:hint="default" w:ascii="Times New Roman" w:hAnsi="Times New Roman" w:eastAsia="仿宋_GB2312" w:cs="Times New Roman"/>
          <w:color w:val="auto"/>
          <w:sz w:val="32"/>
          <w:szCs w:val="32"/>
        </w:rPr>
        <w:t>温湿度监测数据</w:t>
      </w:r>
      <w:r>
        <w:rPr>
          <w:rFonts w:hint="eastAsia" w:ascii="Times New Roman" w:hAnsi="Times New Roman" w:eastAsia="仿宋_GB2312" w:cs="Times New Roman"/>
          <w:color w:val="auto"/>
          <w:sz w:val="32"/>
          <w:szCs w:val="32"/>
          <w:lang w:eastAsia="zh-CN"/>
        </w:rPr>
        <w:t>以及温湿度异常报警等</w:t>
      </w:r>
      <w:r>
        <w:rPr>
          <w:rFonts w:hint="default" w:ascii="Times New Roman" w:hAnsi="Times New Roman" w:eastAsia="仿宋_GB2312" w:cs="Times New Roman"/>
          <w:color w:val="auto"/>
          <w:sz w:val="32"/>
          <w:szCs w:val="32"/>
        </w:rPr>
        <w:t>功能。</w:t>
      </w:r>
      <w:r>
        <w:rPr>
          <w:rFonts w:hint="eastAsia" w:ascii="Times New Roman" w:hAnsi="Times New Roman" w:eastAsia="仿宋_GB2312" w:cs="Times New Roman"/>
          <w:color w:val="auto"/>
          <w:sz w:val="32"/>
          <w:szCs w:val="32"/>
          <w:lang w:eastAsia="zh-CN"/>
        </w:rPr>
        <w:t>温湿度</w:t>
      </w:r>
      <w:r>
        <w:rPr>
          <w:rFonts w:hint="eastAsia" w:ascii="Times New Roman" w:hAnsi="Times New Roman" w:eastAsia="仿宋_GB2312" w:cs="Times New Roman"/>
          <w:color w:val="auto"/>
          <w:sz w:val="32"/>
          <w:szCs w:val="32"/>
          <w:lang w:val="en-US" w:eastAsia="zh-CN"/>
        </w:rPr>
        <w:t>测点终端</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按照国家有关规定定期进行校准或者检定</w:t>
      </w:r>
      <w:r>
        <w:rPr>
          <w:rFonts w:hint="eastAsia" w:ascii="Times New Roman" w:hAnsi="Times New Roman" w:eastAsia="仿宋_GB2312" w:cs="Times New Roman"/>
          <w:color w:val="auto"/>
          <w:sz w:val="32"/>
          <w:szCs w:val="32"/>
          <w:lang w:eastAsia="zh-CN"/>
        </w:rPr>
        <w:t>。</w:t>
      </w:r>
    </w:p>
    <w:p w14:paraId="39CE420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二十七</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温湿度监测数据</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实时上传至连锁</w:t>
      </w:r>
      <w:r>
        <w:rPr>
          <w:rFonts w:hint="eastAsia" w:ascii="Times New Roman" w:hAnsi="Times New Roman" w:eastAsia="仿宋_GB2312" w:cs="Times New Roman"/>
          <w:color w:val="auto"/>
          <w:sz w:val="32"/>
          <w:szCs w:val="32"/>
          <w:lang w:eastAsia="zh-CN"/>
        </w:rPr>
        <w:t>总部（</w:t>
      </w:r>
      <w:r>
        <w:rPr>
          <w:rFonts w:hint="default" w:ascii="Times New Roman" w:hAnsi="Times New Roman" w:eastAsia="仿宋_GB2312" w:cs="Times New Roman"/>
          <w:color w:val="auto"/>
          <w:sz w:val="32"/>
          <w:szCs w:val="32"/>
        </w:rPr>
        <w:t>配送中心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温湿度监测系统，数据上传应符合</w:t>
      </w:r>
      <w:r>
        <w:rPr>
          <w:rFonts w:hint="default" w:ascii="Times New Roman" w:hAnsi="Times New Roman" w:eastAsia="仿宋_GB2312" w:cs="Times New Roman"/>
          <w:color w:val="auto"/>
          <w:sz w:val="32"/>
          <w:szCs w:val="32"/>
          <w:highlight w:val="none"/>
        </w:rPr>
        <w:t>《药品经营质量管理规范》</w:t>
      </w:r>
      <w:r>
        <w:rPr>
          <w:rFonts w:hint="eastAsia" w:ascii="Times New Roman" w:hAnsi="Times New Roman" w:eastAsia="仿宋_GB2312" w:cs="Times New Roman"/>
          <w:color w:val="auto"/>
          <w:sz w:val="32"/>
          <w:szCs w:val="32"/>
          <w:highlight w:val="none"/>
          <w:lang w:val="en-US" w:eastAsia="zh-CN"/>
        </w:rPr>
        <w:t>附录3：</w:t>
      </w:r>
      <w:r>
        <w:rPr>
          <w:rFonts w:hint="default" w:ascii="Times New Roman" w:hAnsi="Times New Roman" w:eastAsia="仿宋_GB2312" w:cs="Times New Roman"/>
          <w:color w:val="auto"/>
          <w:sz w:val="32"/>
          <w:szCs w:val="32"/>
        </w:rPr>
        <w:t>温湿度自动监测</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相关要求。</w:t>
      </w:r>
    </w:p>
    <w:p w14:paraId="5FA689FF">
      <w:pPr>
        <w:pStyle w:val="2"/>
        <w:ind w:left="0" w:leftChars="0" w:firstLine="643" w:firstLineChars="20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w:t>
      </w:r>
      <w:r>
        <w:rPr>
          <w:rFonts w:hint="eastAsia" w:ascii="Times New Roman" w:hAnsi="Times New Roman" w:eastAsia="仿宋_GB2312" w:cs="Times New Roman"/>
          <w:b/>
          <w:bCs/>
          <w:color w:val="auto"/>
          <w:kern w:val="2"/>
          <w:sz w:val="32"/>
          <w:szCs w:val="32"/>
          <w:lang w:val="en-US" w:eastAsia="zh-CN" w:bidi="ar-SA"/>
        </w:rPr>
        <w:t>八</w:t>
      </w:r>
      <w:r>
        <w:rPr>
          <w:rFonts w:hint="default" w:ascii="Times New Roman" w:hAnsi="Times New Roman" w:eastAsia="仿宋_GB2312" w:cs="Times New Roman"/>
          <w:b/>
          <w:bCs/>
          <w:color w:val="auto"/>
          <w:kern w:val="2"/>
          <w:sz w:val="32"/>
          <w:szCs w:val="32"/>
          <w:lang w:val="en-US" w:eastAsia="zh-CN" w:bidi="ar-SA"/>
        </w:rPr>
        <w:t>条</w:t>
      </w:r>
      <w:r>
        <w:rPr>
          <w:rFonts w:hint="default" w:ascii="Times New Roman" w:hAnsi="Times New Roman" w:eastAsia="仿宋_GB2312" w:cs="Times New Roman"/>
          <w:color w:val="auto"/>
          <w:kern w:val="2"/>
          <w:sz w:val="32"/>
          <w:szCs w:val="32"/>
          <w:lang w:val="en-US" w:eastAsia="zh-CN" w:bidi="ar-SA"/>
        </w:rPr>
        <w:t xml:space="preserve"> 智能储配仓</w:t>
      </w:r>
      <w:r>
        <w:rPr>
          <w:rFonts w:hint="eastAsia" w:ascii="Times New Roman" w:hAnsi="Times New Roman" w:eastAsia="仿宋_GB2312" w:cs="Times New Roman"/>
          <w:color w:val="auto"/>
          <w:kern w:val="2"/>
          <w:sz w:val="32"/>
          <w:szCs w:val="32"/>
          <w:lang w:val="en-US" w:eastAsia="zh-CN" w:bidi="ar-SA"/>
        </w:rPr>
        <w:t>应配备</w:t>
      </w:r>
      <w:r>
        <w:rPr>
          <w:rFonts w:hint="default" w:ascii="Times New Roman" w:hAnsi="Times New Roman" w:eastAsia="仿宋_GB2312" w:cs="Times New Roman"/>
          <w:color w:val="auto"/>
          <w:kern w:val="2"/>
          <w:sz w:val="32"/>
          <w:szCs w:val="32"/>
          <w:lang w:val="en-US" w:eastAsia="zh-CN" w:bidi="ar-SA"/>
        </w:rPr>
        <w:t>有效调控温湿度及室内外空气交换的设备</w:t>
      </w:r>
      <w:r>
        <w:rPr>
          <w:rFonts w:hint="eastAsia" w:ascii="Times New Roman" w:hAnsi="Times New Roman" w:eastAsia="仿宋_GB2312" w:cs="Times New Roman"/>
          <w:color w:val="auto"/>
          <w:kern w:val="2"/>
          <w:sz w:val="32"/>
          <w:szCs w:val="32"/>
          <w:lang w:val="en-US" w:eastAsia="zh-CN" w:bidi="ar-SA"/>
        </w:rPr>
        <w:t>，并能实现自动或者远程调控。</w:t>
      </w:r>
    </w:p>
    <w:p w14:paraId="0F1F623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kern w:val="2"/>
          <w:sz w:val="32"/>
          <w:szCs w:val="32"/>
          <w:lang w:val="en-US" w:eastAsia="zh-CN" w:bidi="ar-SA"/>
        </w:rPr>
      </w:pPr>
    </w:p>
    <w:p w14:paraId="0326BD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第六章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管理要求</w:t>
      </w:r>
    </w:p>
    <w:p w14:paraId="63289F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二十九</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应当显著标示</w:t>
      </w:r>
      <w:r>
        <w:rPr>
          <w:rFonts w:hint="eastAsia" w:ascii="Times New Roman" w:hAnsi="Times New Roman" w:eastAsia="仿宋_GB2312" w:cs="Times New Roman"/>
          <w:color w:val="auto"/>
          <w:sz w:val="32"/>
          <w:szCs w:val="32"/>
          <w:lang w:val="en-US" w:eastAsia="zh-CN"/>
        </w:rPr>
        <w:t>连锁总部</w:t>
      </w:r>
      <w:r>
        <w:rPr>
          <w:rFonts w:hint="default" w:ascii="Times New Roman" w:hAnsi="Times New Roman" w:eastAsia="仿宋_GB2312" w:cs="Times New Roman"/>
          <w:color w:val="auto"/>
          <w:sz w:val="32"/>
          <w:szCs w:val="32"/>
        </w:rPr>
        <w:t>名称、《药品经营许可证》</w:t>
      </w:r>
      <w:r>
        <w:rPr>
          <w:rFonts w:hint="eastAsia" w:ascii="Times New Roman" w:hAnsi="Times New Roman" w:eastAsia="仿宋_GB2312" w:cs="Times New Roman"/>
          <w:color w:val="auto"/>
          <w:sz w:val="32"/>
          <w:szCs w:val="32"/>
          <w:lang w:eastAsia="zh-CN"/>
        </w:rPr>
        <w:t>证书</w:t>
      </w:r>
      <w:r>
        <w:rPr>
          <w:rFonts w:hint="default" w:ascii="Times New Roman" w:hAnsi="Times New Roman" w:eastAsia="仿宋_GB2312" w:cs="Times New Roman"/>
          <w:color w:val="auto"/>
          <w:sz w:val="32"/>
          <w:szCs w:val="32"/>
        </w:rPr>
        <w:t>编号、</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编号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联系电话</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24小时服务）</w:t>
      </w:r>
      <w:r>
        <w:rPr>
          <w:rFonts w:hint="eastAsia" w:ascii="Times New Roman" w:hAnsi="Times New Roman" w:eastAsia="仿宋_GB2312" w:cs="Times New Roman"/>
          <w:color w:val="auto"/>
          <w:sz w:val="32"/>
          <w:szCs w:val="32"/>
          <w:lang w:eastAsia="zh-CN"/>
        </w:rPr>
        <w:t>和药品监管部门投诉举报电话等信息</w:t>
      </w:r>
      <w:r>
        <w:rPr>
          <w:rFonts w:hint="default" w:ascii="Times New Roman" w:hAnsi="Times New Roman" w:eastAsia="仿宋_GB2312" w:cs="Times New Roman"/>
          <w:color w:val="auto"/>
          <w:sz w:val="32"/>
          <w:szCs w:val="32"/>
        </w:rPr>
        <w:t>。上述标记标识应当</w:t>
      </w:r>
      <w:r>
        <w:rPr>
          <w:rFonts w:hint="eastAsia" w:ascii="Times New Roman" w:hAnsi="Times New Roman" w:eastAsia="仿宋_GB2312" w:cs="Times New Roman"/>
          <w:color w:val="auto"/>
          <w:sz w:val="32"/>
          <w:szCs w:val="32"/>
          <w:lang w:eastAsia="zh-CN"/>
        </w:rPr>
        <w:t>清晰</w:t>
      </w:r>
      <w:r>
        <w:rPr>
          <w:rFonts w:hint="default" w:ascii="Times New Roman" w:hAnsi="Times New Roman" w:eastAsia="仿宋_GB2312" w:cs="Times New Roman"/>
          <w:color w:val="auto"/>
          <w:sz w:val="32"/>
          <w:szCs w:val="32"/>
        </w:rPr>
        <w:t>且不易脱落。</w:t>
      </w:r>
    </w:p>
    <w:p w14:paraId="41AAE1B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eastAsia="zh-CN"/>
        </w:rPr>
        <w:t>三十</w:t>
      </w:r>
      <w:r>
        <w:rPr>
          <w:rFonts w:hint="default" w:ascii="Times New Roman" w:hAnsi="Times New Roman" w:eastAsia="仿宋_GB2312" w:cs="Times New Roman"/>
          <w:b/>
          <w:bCs/>
          <w:color w:val="auto"/>
          <w:sz w:val="32"/>
          <w:szCs w:val="32"/>
          <w:lang w:eastAsia="zh-CN"/>
        </w:rPr>
        <w:t xml:space="preserve">条 </w:t>
      </w:r>
      <w:r>
        <w:rPr>
          <w:rFonts w:hint="eastAsia" w:ascii="Times New Roman" w:hAnsi="Times New Roman" w:eastAsia="仿宋_GB2312" w:cs="Times New Roman"/>
          <w:color w:val="auto"/>
          <w:sz w:val="32"/>
          <w:szCs w:val="32"/>
          <w:highlight w:val="none"/>
          <w:lang w:eastAsia="zh-CN"/>
        </w:rPr>
        <w:t>智能储配仓储存的药品应</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连锁总部和从事网络销售连锁门店《药品经营许可证》</w:t>
      </w:r>
      <w:r>
        <w:rPr>
          <w:rFonts w:hint="default" w:ascii="Times New Roman" w:hAnsi="Times New Roman" w:eastAsia="仿宋_GB2312" w:cs="Times New Roman"/>
          <w:color w:val="auto"/>
          <w:sz w:val="32"/>
          <w:szCs w:val="32"/>
          <w:highlight w:val="none"/>
        </w:rPr>
        <w:t>核准的经营范围内</w:t>
      </w:r>
      <w:r>
        <w:rPr>
          <w:rFonts w:hint="eastAsia" w:ascii="Times New Roman" w:hAnsi="Times New Roman" w:eastAsia="仿宋_GB2312" w:cs="Times New Roman"/>
          <w:color w:val="auto"/>
          <w:sz w:val="32"/>
          <w:szCs w:val="32"/>
          <w:highlight w:val="none"/>
          <w:lang w:eastAsia="zh-CN"/>
        </w:rPr>
        <w:t>，且不包括下列药品：</w:t>
      </w:r>
    </w:p>
    <w:p w14:paraId="6AC71E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（一）《</w:t>
      </w:r>
      <w:r>
        <w:rPr>
          <w:rFonts w:hint="eastAsia" w:ascii="Times New Roman" w:hAnsi="Times New Roman" w:eastAsia="仿宋_GB2312" w:cs="Times New Roman"/>
          <w:color w:val="auto"/>
          <w:sz w:val="32"/>
          <w:szCs w:val="32"/>
          <w:highlight w:val="none"/>
          <w:lang w:val="en-US" w:eastAsia="zh-CN"/>
        </w:rPr>
        <w:t>药品网络销售禁止清单</w:t>
      </w:r>
      <w:r>
        <w:rPr>
          <w:rFonts w:hint="eastAsia" w:ascii="Times New Roman" w:hAnsi="Times New Roman" w:eastAsia="仿宋_GB2312" w:cs="Times New Roman"/>
          <w:color w:val="auto"/>
          <w:sz w:val="32"/>
          <w:szCs w:val="32"/>
          <w:highlight w:val="none"/>
          <w:lang w:eastAsia="zh-CN"/>
        </w:rPr>
        <w:t>》所列药品；</w:t>
      </w:r>
    </w:p>
    <w:p w14:paraId="72F8A3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（二）冷藏冷冻药品；</w:t>
      </w:r>
    </w:p>
    <w:p w14:paraId="5CED3D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（三）用于配方的中药饮片；</w:t>
      </w:r>
    </w:p>
    <w:p w14:paraId="112245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lang w:eastAsia="zh-CN"/>
        </w:rPr>
        <w:t>拆零药品</w:t>
      </w:r>
      <w:r>
        <w:rPr>
          <w:rFonts w:hint="eastAsia" w:ascii="Times New Roman" w:hAnsi="Times New Roman" w:eastAsia="仿宋_GB2312" w:cs="Times New Roman"/>
          <w:color w:val="auto"/>
          <w:sz w:val="32"/>
          <w:szCs w:val="32"/>
          <w:highlight w:val="none"/>
          <w:lang w:eastAsia="zh-CN"/>
        </w:rPr>
        <w:t>；</w:t>
      </w:r>
    </w:p>
    <w:p w14:paraId="5498DB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（五）</w:t>
      </w:r>
      <w:r>
        <w:rPr>
          <w:rFonts w:hint="eastAsia" w:ascii="Times New Roman" w:hAnsi="Times New Roman" w:eastAsia="仿宋_GB2312" w:cs="Times New Roman"/>
          <w:color w:val="auto"/>
          <w:sz w:val="32"/>
          <w:szCs w:val="32"/>
          <w:highlight w:val="none"/>
          <w:lang w:val="en-US" w:eastAsia="zh-CN"/>
        </w:rPr>
        <w:t>近效期</w:t>
      </w:r>
      <w:r>
        <w:rPr>
          <w:rFonts w:hint="default" w:ascii="Times New Roman" w:hAnsi="Times New Roman" w:eastAsia="仿宋_GB2312" w:cs="Times New Roman"/>
          <w:color w:val="auto"/>
          <w:sz w:val="32"/>
          <w:szCs w:val="32"/>
          <w:highlight w:val="none"/>
          <w:lang w:eastAsia="zh-CN"/>
        </w:rPr>
        <w:t>药品</w:t>
      </w:r>
      <w:r>
        <w:rPr>
          <w:rFonts w:hint="eastAsia" w:ascii="Times New Roman" w:hAnsi="Times New Roman" w:eastAsia="仿宋_GB2312" w:cs="Times New Roman"/>
          <w:color w:val="auto"/>
          <w:sz w:val="32"/>
          <w:szCs w:val="32"/>
          <w:highlight w:val="none"/>
          <w:lang w:eastAsia="zh-CN"/>
        </w:rPr>
        <w:t>。</w:t>
      </w:r>
    </w:p>
    <w:p w14:paraId="1432C74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三十一</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应当能够</w:t>
      </w:r>
      <w:r>
        <w:rPr>
          <w:rFonts w:hint="eastAsia" w:ascii="Times New Roman" w:hAnsi="Times New Roman" w:eastAsia="仿宋_GB2312" w:cs="Times New Roman"/>
          <w:color w:val="auto"/>
          <w:sz w:val="32"/>
          <w:szCs w:val="32"/>
          <w:lang w:eastAsia="zh-CN"/>
        </w:rPr>
        <w:t>自动</w:t>
      </w:r>
      <w:r>
        <w:rPr>
          <w:rFonts w:hint="default" w:ascii="Times New Roman" w:hAnsi="Times New Roman" w:eastAsia="仿宋_GB2312" w:cs="Times New Roman"/>
          <w:color w:val="auto"/>
          <w:sz w:val="32"/>
          <w:szCs w:val="32"/>
        </w:rPr>
        <w:t>打印销售</w:t>
      </w:r>
      <w:r>
        <w:rPr>
          <w:rFonts w:hint="eastAsia" w:ascii="Times New Roman" w:hAnsi="Times New Roman" w:eastAsia="仿宋_GB2312" w:cs="Times New Roman"/>
          <w:color w:val="auto"/>
          <w:sz w:val="32"/>
          <w:szCs w:val="32"/>
          <w:lang w:eastAsia="zh-CN"/>
        </w:rPr>
        <w:t>凭证并随货配送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内容</w:t>
      </w:r>
      <w:r>
        <w:rPr>
          <w:rFonts w:hint="eastAsia" w:ascii="Times New Roman" w:hAnsi="Times New Roman" w:eastAsia="仿宋_GB2312" w:cs="Times New Roman"/>
          <w:color w:val="auto"/>
          <w:sz w:val="32"/>
          <w:szCs w:val="32"/>
          <w:highlight w:val="none"/>
          <w:lang w:eastAsia="zh-CN"/>
        </w:rPr>
        <w:t>包括但不限于：</w:t>
      </w:r>
      <w:r>
        <w:rPr>
          <w:rFonts w:hint="eastAsia" w:ascii="Times New Roman" w:hAnsi="Times New Roman" w:eastAsia="仿宋_GB2312" w:cs="Times New Roman"/>
          <w:color w:val="auto"/>
          <w:sz w:val="32"/>
          <w:szCs w:val="32"/>
          <w:highlight w:val="none"/>
          <w:lang w:val="en-US" w:eastAsia="zh-CN"/>
        </w:rPr>
        <w:t>销售药品的</w:t>
      </w:r>
      <w:r>
        <w:rPr>
          <w:rFonts w:hint="default" w:ascii="Times New Roman" w:hAnsi="Times New Roman" w:eastAsia="仿宋_GB2312" w:cs="Times New Roman"/>
          <w:color w:val="auto"/>
          <w:sz w:val="32"/>
          <w:szCs w:val="32"/>
          <w:highlight w:val="none"/>
        </w:rPr>
        <w:t>连锁门店名称</w:t>
      </w:r>
      <w:r>
        <w:rPr>
          <w:rFonts w:hint="eastAsia" w:ascii="Times New Roman" w:hAnsi="Times New Roman" w:eastAsia="仿宋_GB2312" w:cs="Times New Roman"/>
          <w:color w:val="auto"/>
          <w:sz w:val="32"/>
          <w:szCs w:val="32"/>
          <w:highlight w:val="none"/>
          <w:lang w:eastAsia="zh-CN"/>
        </w:rPr>
        <w:t>、智能储配仓</w:t>
      </w:r>
      <w:r>
        <w:rPr>
          <w:rFonts w:hint="default" w:ascii="Times New Roman" w:hAnsi="Times New Roman" w:eastAsia="仿宋_GB2312" w:cs="Times New Roman"/>
          <w:color w:val="auto"/>
          <w:sz w:val="32"/>
          <w:szCs w:val="32"/>
          <w:highlight w:val="none"/>
        </w:rPr>
        <w:t>编号、药品名称、上市许可持有人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生产企业</w:t>
      </w:r>
      <w:r>
        <w:rPr>
          <w:rFonts w:hint="eastAsia"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rPr>
        <w:t>、规格、批号、数量、价格、</w:t>
      </w:r>
      <w:r>
        <w:rPr>
          <w:rFonts w:hint="eastAsia" w:ascii="Times New Roman" w:hAnsi="Times New Roman" w:eastAsia="仿宋_GB2312" w:cs="Times New Roman"/>
          <w:color w:val="auto"/>
          <w:sz w:val="32"/>
          <w:szCs w:val="32"/>
          <w:highlight w:val="none"/>
          <w:lang w:eastAsia="zh-CN"/>
        </w:rPr>
        <w:t>销售</w:t>
      </w:r>
      <w:r>
        <w:rPr>
          <w:rFonts w:hint="default" w:ascii="Times New Roman" w:hAnsi="Times New Roman" w:eastAsia="仿宋_GB2312" w:cs="Times New Roman"/>
          <w:color w:val="auto"/>
          <w:sz w:val="32"/>
          <w:szCs w:val="32"/>
          <w:highlight w:val="none"/>
        </w:rPr>
        <w:t>日期等。</w:t>
      </w:r>
    </w:p>
    <w:p w14:paraId="305A233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三十二</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连锁总部应确保智能储配仓</w:t>
      </w:r>
      <w:r>
        <w:rPr>
          <w:rFonts w:hint="default" w:ascii="Times New Roman" w:hAnsi="Times New Roman" w:eastAsia="仿宋_GB2312" w:cs="Times New Roman"/>
          <w:color w:val="auto"/>
          <w:sz w:val="32"/>
          <w:szCs w:val="32"/>
          <w:lang w:eastAsia="zh-CN"/>
        </w:rPr>
        <w:t>24小时运行，</w:t>
      </w:r>
      <w:r>
        <w:rPr>
          <w:rFonts w:hint="eastAsia" w:ascii="Times New Roman" w:hAnsi="Times New Roman" w:eastAsia="仿宋_GB2312" w:cs="Times New Roman"/>
          <w:color w:val="auto"/>
          <w:sz w:val="32"/>
          <w:szCs w:val="32"/>
          <w:lang w:eastAsia="zh-CN"/>
        </w:rPr>
        <w:t>方便配送（自助）取药</w:t>
      </w:r>
      <w:r>
        <w:rPr>
          <w:rFonts w:hint="default" w:ascii="Times New Roman" w:hAnsi="Times New Roman" w:eastAsia="仿宋_GB2312" w:cs="Times New Roman"/>
          <w:color w:val="auto"/>
          <w:sz w:val="32"/>
          <w:szCs w:val="32"/>
          <w:lang w:eastAsia="zh-CN"/>
        </w:rPr>
        <w:t>。</w:t>
      </w:r>
    </w:p>
    <w:p w14:paraId="07850A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三十三</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智能储配仓的药品配送应当符合《</w:t>
      </w:r>
      <w:r>
        <w:rPr>
          <w:rFonts w:hint="default" w:ascii="Times New Roman" w:hAnsi="Times New Roman" w:eastAsia="仿宋_GB2312" w:cs="Times New Roman"/>
          <w:color w:val="auto"/>
          <w:sz w:val="32"/>
          <w:szCs w:val="32"/>
        </w:rPr>
        <w:t>药品经营质量管理规范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附录6:药品零售配送质量管理</w:t>
      </w:r>
      <w:r>
        <w:rPr>
          <w:rFonts w:hint="eastAsia" w:ascii="Times New Roman" w:hAnsi="Times New Roman" w:eastAsia="仿宋_GB2312" w:cs="Times New Roman"/>
          <w:color w:val="auto"/>
          <w:sz w:val="32"/>
          <w:szCs w:val="32"/>
          <w:lang w:eastAsia="zh-CN"/>
        </w:rPr>
        <w:t>的要求。</w:t>
      </w:r>
    </w:p>
    <w:p w14:paraId="2AD200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ascii="Times New Roman" w:hAnsi="Times New Roman" w:eastAsia="仿宋_GB2312" w:cs="Times New Roman"/>
          <w:color w:val="auto"/>
          <w:sz w:val="32"/>
          <w:szCs w:val="32"/>
          <w:lang w:eastAsia="zh-CN"/>
        </w:rPr>
        <w:t>药品零售连锁企业委托其他单位配送药品的，应当将其配送活动纳入本企业药品质量管理体系，对受托方质量保证能力和风险管理能力进行评估，与其签订委托协议，明确双方质量责任、配送操作规程、在途时限及药品质量安全事故处置等内容，并对受托方进行监督、开展定期检查。</w:t>
      </w:r>
    </w:p>
    <w:p w14:paraId="727BD55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三十四</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color w:val="auto"/>
          <w:sz w:val="32"/>
          <w:szCs w:val="32"/>
          <w:lang w:eastAsia="zh-CN"/>
        </w:rPr>
        <w:t>连锁总部应当对存在药品安全隐患的智能储配仓及时采取措施，并</w:t>
      </w:r>
      <w:r>
        <w:rPr>
          <w:rFonts w:hint="default" w:ascii="Times New Roman" w:hAnsi="Times New Roman" w:eastAsia="仿宋_GB2312" w:cs="Times New Roman"/>
          <w:color w:val="auto"/>
          <w:sz w:val="32"/>
          <w:szCs w:val="32"/>
        </w:rPr>
        <w:t>制定应急预案，应对</w:t>
      </w:r>
      <w:r>
        <w:rPr>
          <w:rFonts w:hint="eastAsia" w:ascii="Times New Roman" w:hAnsi="Times New Roman" w:eastAsia="仿宋_GB2312" w:cs="Times New Roman"/>
          <w:color w:val="auto"/>
          <w:sz w:val="32"/>
          <w:szCs w:val="32"/>
          <w:lang w:eastAsia="zh-CN"/>
        </w:rPr>
        <w:t>智能储配仓</w:t>
      </w:r>
      <w:r>
        <w:rPr>
          <w:rFonts w:hint="default" w:ascii="Times New Roman" w:hAnsi="Times New Roman" w:eastAsia="仿宋_GB2312" w:cs="Times New Roman"/>
          <w:color w:val="auto"/>
          <w:sz w:val="32"/>
          <w:szCs w:val="32"/>
        </w:rPr>
        <w:t>发生故障或极端天气等情况</w:t>
      </w:r>
      <w:r>
        <w:rPr>
          <w:rFonts w:hint="eastAsia" w:ascii="Times New Roman" w:hAnsi="Times New Roman" w:eastAsia="仿宋_GB2312" w:cs="Times New Roman"/>
          <w:color w:val="auto"/>
          <w:sz w:val="32"/>
          <w:szCs w:val="32"/>
          <w:lang w:eastAsia="zh-CN"/>
        </w:rPr>
        <w:t>，消除药品安全隐患。</w:t>
      </w:r>
    </w:p>
    <w:p w14:paraId="7A82BE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p>
    <w:p w14:paraId="7575E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第七章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监督管理</w:t>
      </w:r>
    </w:p>
    <w:p w14:paraId="1BD4725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各级</w:t>
      </w:r>
      <w:r>
        <w:rPr>
          <w:rFonts w:hint="default" w:ascii="Times New Roman" w:hAnsi="Times New Roman" w:eastAsia="仿宋_GB2312" w:cs="Times New Roman"/>
          <w:color w:val="auto"/>
          <w:sz w:val="32"/>
          <w:szCs w:val="32"/>
          <w:lang w:eastAsia="zh-CN"/>
        </w:rPr>
        <w:t>药品</w:t>
      </w:r>
      <w:r>
        <w:rPr>
          <w:rFonts w:hint="default" w:ascii="Times New Roman" w:hAnsi="Times New Roman" w:eastAsia="仿宋_GB2312" w:cs="Times New Roman"/>
          <w:color w:val="auto"/>
          <w:sz w:val="32"/>
          <w:szCs w:val="32"/>
        </w:rPr>
        <w:t>监管部门应当按照</w:t>
      </w:r>
      <w:r>
        <w:rPr>
          <w:rFonts w:hint="eastAsia" w:ascii="Times New Roman" w:hAnsi="Times New Roman" w:eastAsia="仿宋_GB2312" w:cs="Times New Roman"/>
          <w:color w:val="auto"/>
          <w:sz w:val="32"/>
          <w:szCs w:val="32"/>
          <w:lang w:eastAsia="zh-CN"/>
        </w:rPr>
        <w:t>职责分工对试点连锁企业及其智能储配仓</w:t>
      </w:r>
      <w:r>
        <w:rPr>
          <w:rFonts w:hint="default" w:ascii="Times New Roman" w:hAnsi="Times New Roman" w:eastAsia="仿宋_GB2312" w:cs="Times New Roman"/>
          <w:color w:val="auto"/>
          <w:sz w:val="32"/>
          <w:szCs w:val="32"/>
        </w:rPr>
        <w:t>加强</w:t>
      </w:r>
      <w:r>
        <w:rPr>
          <w:rFonts w:hint="eastAsia" w:ascii="Times New Roman" w:hAnsi="Times New Roman" w:eastAsia="仿宋_GB2312" w:cs="Times New Roman"/>
          <w:color w:val="auto"/>
          <w:sz w:val="32"/>
          <w:szCs w:val="32"/>
          <w:lang w:eastAsia="zh-CN"/>
        </w:rPr>
        <w:t>监督管理，督促</w:t>
      </w:r>
      <w:r>
        <w:rPr>
          <w:rFonts w:hint="default"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主体责任，保证药品质量</w:t>
      </w:r>
      <w:r>
        <w:rPr>
          <w:rFonts w:hint="eastAsia" w:ascii="Times New Roman" w:hAnsi="Times New Roman" w:eastAsia="仿宋_GB2312" w:cs="Times New Roman"/>
          <w:color w:val="auto"/>
          <w:sz w:val="32"/>
          <w:szCs w:val="32"/>
          <w:lang w:eastAsia="zh-CN"/>
        </w:rPr>
        <w:t>安全</w:t>
      </w:r>
      <w:r>
        <w:rPr>
          <w:rFonts w:hint="default" w:ascii="Times New Roman" w:hAnsi="Times New Roman" w:eastAsia="仿宋_GB2312" w:cs="Times New Roman"/>
          <w:color w:val="auto"/>
          <w:sz w:val="32"/>
          <w:szCs w:val="32"/>
        </w:rPr>
        <w:t>。</w:t>
      </w:r>
    </w:p>
    <w:p w14:paraId="606A54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药品监管部门</w:t>
      </w:r>
      <w:r>
        <w:rPr>
          <w:rFonts w:hint="eastAsia" w:ascii="Times New Roman" w:hAnsi="Times New Roman" w:eastAsia="仿宋_GB2312" w:cs="Times New Roman"/>
          <w:color w:val="auto"/>
          <w:sz w:val="32"/>
          <w:szCs w:val="32"/>
          <w:lang w:eastAsia="zh-CN"/>
        </w:rPr>
        <w:t>应当根据企业质量管理和检查、检验、投诉、举报等药品安全风险和信用情况，科学、合理制定监督检查计划、开展监督检查并建立监督检查档案。</w:t>
      </w:r>
    </w:p>
    <w:p w14:paraId="7C13EE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药品零售连锁总部跨管辖区域设置的智能储配仓，</w:t>
      </w:r>
      <w:r>
        <w:rPr>
          <w:rFonts w:hint="default" w:ascii="Times New Roman" w:hAnsi="Times New Roman" w:eastAsia="仿宋_GB2312" w:cs="Times New Roman"/>
          <w:color w:val="auto"/>
          <w:sz w:val="32"/>
          <w:szCs w:val="32"/>
        </w:rPr>
        <w:t>所在地药品监管部门</w:t>
      </w:r>
      <w:r>
        <w:rPr>
          <w:rFonts w:hint="eastAsia"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协助</w:t>
      </w:r>
      <w:r>
        <w:rPr>
          <w:rFonts w:hint="eastAsia"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rPr>
        <w:t>日常监管</w:t>
      </w:r>
      <w:r>
        <w:rPr>
          <w:rFonts w:hint="eastAsia" w:ascii="Times New Roman" w:hAnsi="Times New Roman" w:eastAsia="仿宋_GB2312" w:cs="Times New Roman"/>
          <w:color w:val="auto"/>
          <w:sz w:val="32"/>
          <w:szCs w:val="32"/>
          <w:lang w:eastAsia="zh-CN"/>
        </w:rPr>
        <w:t>工作。各级药品监管部门要加强协调配合，确保监管责任落实。</w:t>
      </w:r>
    </w:p>
    <w:p w14:paraId="2C6E70D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三十八</w:t>
      </w:r>
      <w:r>
        <w:rPr>
          <w:rFonts w:hint="default" w:ascii="Times New Roman" w:hAnsi="Times New Roman" w:eastAsia="仿宋_GB2312" w:cs="Times New Roman"/>
          <w:b/>
          <w:bCs/>
          <w:color w:val="auto"/>
          <w:sz w:val="32"/>
          <w:szCs w:val="32"/>
        </w:rPr>
        <w:t xml:space="preserve">条 </w:t>
      </w:r>
      <w:r>
        <w:rPr>
          <w:rFonts w:hint="eastAsia" w:ascii="Times New Roman" w:hAnsi="Times New Roman" w:eastAsia="仿宋_GB2312" w:cs="Times New Roman"/>
          <w:b w:val="0"/>
          <w:bCs w:val="0"/>
          <w:color w:val="auto"/>
          <w:sz w:val="32"/>
          <w:szCs w:val="32"/>
          <w:lang w:eastAsia="zh-CN"/>
        </w:rPr>
        <w:t>药品零售连锁企业不按本办法要求开展试点、试点后不符合试点条件或者发生严重违法违规行为的，由省级药品监管部门取消试点资格，并对违法违规行为依法查处。</w:t>
      </w:r>
    </w:p>
    <w:p w14:paraId="120CAB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14:paraId="62FF89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第八章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附则</w:t>
      </w:r>
    </w:p>
    <w:p w14:paraId="45DA25C1">
      <w:pPr>
        <w:pStyle w:val="2"/>
        <w:ind w:left="0" w:leftChars="0" w:firstLine="643"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三十九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本办法由四川省药品监督管理局负责解释。</w:t>
      </w:r>
    </w:p>
    <w:p w14:paraId="451189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 xml:space="preserve">十条 </w:t>
      </w:r>
      <w:r>
        <w:rPr>
          <w:rFonts w:hint="default" w:ascii="Times New Roman" w:hAnsi="Times New Roman" w:eastAsia="仿宋_GB2312" w:cs="Times New Roman"/>
          <w:color w:val="auto"/>
          <w:sz w:val="32"/>
          <w:szCs w:val="32"/>
        </w:rPr>
        <w:t>本办法自202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日起实施</w:t>
      </w:r>
      <w:r>
        <w:rPr>
          <w:rFonts w:hint="eastAsia" w:ascii="Times New Roman" w:hAnsi="Times New Roman" w:eastAsia="仿宋_GB2312" w:cs="Times New Roman"/>
          <w:color w:val="auto"/>
          <w:sz w:val="32"/>
          <w:szCs w:val="32"/>
          <w:lang w:eastAsia="zh-CN"/>
        </w:rPr>
        <w:t>，有效期</w:t>
      </w:r>
      <w:r>
        <w:rPr>
          <w:rFonts w:hint="eastAsia" w:ascii="Times New Roman" w:hAnsi="Times New Roman" w:eastAsia="仿宋_GB2312" w:cs="Times New Roman"/>
          <w:color w:val="auto"/>
          <w:sz w:val="32"/>
          <w:szCs w:val="32"/>
          <w:lang w:val="en-US" w:eastAsia="zh-CN"/>
        </w:rPr>
        <w:t>2年。法律、法规、规章或者国家药品监督管理部门另有规定的，从其规定。</w:t>
      </w:r>
    </w:p>
    <w:p w14:paraId="0C05FC01">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Times New Roman" w:hAnsi="Times New Roman" w:eastAsia="黑体" w:cs="Times New Roman"/>
          <w:color w:val="auto"/>
          <w:sz w:val="32"/>
          <w:szCs w:val="32"/>
          <w:lang w:val="en" w:eastAsia="zh-CN"/>
        </w:rPr>
      </w:pPr>
      <w:r>
        <w:rPr>
          <w:rFonts w:hint="eastAsia" w:ascii="Times New Roman" w:hAnsi="Times New Roman" w:eastAsia="仿宋_GB2312" w:cs="Times New Roman"/>
          <w:color w:val="auto"/>
          <w:sz w:val="32"/>
          <w:szCs w:val="32"/>
          <w:lang w:val="en-US" w:eastAsia="zh-CN"/>
        </w:rPr>
        <w:br w:type="page"/>
      </w:r>
      <w:r>
        <w:rPr>
          <w:rFonts w:hint="default" w:ascii="Times New Roman" w:hAnsi="Times New Roman" w:eastAsia="黑体" w:cs="Times New Roman"/>
          <w:color w:val="auto"/>
          <w:sz w:val="32"/>
          <w:szCs w:val="32"/>
        </w:rPr>
        <w:t>附件</w:t>
      </w:r>
    </w:p>
    <w:p w14:paraId="55659640">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rPr>
      </w:pPr>
      <w:r>
        <w:rPr>
          <w:rFonts w:hint="eastAsia" w:ascii="方正小标宋简体" w:hAnsi="方正小标宋简体" w:eastAsia="方正小标宋简体" w:cs="方正小标宋简体"/>
          <w:b w:val="0"/>
          <w:bCs w:val="0"/>
          <w:color w:val="auto"/>
          <w:kern w:val="0"/>
          <w:sz w:val="36"/>
          <w:szCs w:val="36"/>
          <w:lang w:eastAsia="zh-CN" w:bidi="ar"/>
        </w:rPr>
        <w:t>智能储配仓</w:t>
      </w:r>
      <w:r>
        <w:rPr>
          <w:rFonts w:hint="eastAsia" w:ascii="方正小标宋简体" w:hAnsi="方正小标宋简体" w:eastAsia="方正小标宋简体" w:cs="方正小标宋简体"/>
          <w:b w:val="0"/>
          <w:bCs w:val="0"/>
          <w:color w:val="auto"/>
          <w:kern w:val="0"/>
          <w:sz w:val="36"/>
          <w:szCs w:val="36"/>
          <w:lang w:val="en-US" w:eastAsia="zh-CN" w:bidi="ar"/>
        </w:rPr>
        <w:t>设置</w:t>
      </w:r>
      <w:r>
        <w:rPr>
          <w:rFonts w:hint="eastAsia" w:ascii="方正小标宋简体" w:hAnsi="方正小标宋简体" w:eastAsia="方正小标宋简体" w:cs="方正小标宋简体"/>
          <w:b w:val="0"/>
          <w:bCs w:val="0"/>
          <w:color w:val="auto"/>
          <w:kern w:val="0"/>
          <w:sz w:val="36"/>
          <w:szCs w:val="36"/>
          <w:lang w:bidi="ar"/>
        </w:rPr>
        <w:t>申请表</w:t>
      </w:r>
    </w:p>
    <w:tbl>
      <w:tblPr>
        <w:tblStyle w:val="5"/>
        <w:tblW w:w="8845" w:type="dxa"/>
        <w:tblInd w:w="93" w:type="dxa"/>
        <w:tblLayout w:type="fixed"/>
        <w:tblCellMar>
          <w:top w:w="0" w:type="dxa"/>
          <w:left w:w="108" w:type="dxa"/>
          <w:bottom w:w="0" w:type="dxa"/>
          <w:right w:w="108" w:type="dxa"/>
        </w:tblCellMar>
      </w:tblPr>
      <w:tblGrid>
        <w:gridCol w:w="1960"/>
        <w:gridCol w:w="958"/>
        <w:gridCol w:w="1625"/>
        <w:gridCol w:w="1195"/>
        <w:gridCol w:w="3107"/>
      </w:tblGrid>
      <w:tr w14:paraId="173D1A9D">
        <w:tblPrEx>
          <w:tblCellMar>
            <w:top w:w="0" w:type="dxa"/>
            <w:left w:w="108" w:type="dxa"/>
            <w:bottom w:w="0" w:type="dxa"/>
            <w:right w:w="108" w:type="dxa"/>
          </w:tblCellMar>
        </w:tblPrEx>
        <w:trPr>
          <w:trHeight w:val="585" w:hRule="atLeast"/>
        </w:trPr>
        <w:tc>
          <w:tcPr>
            <w:tcW w:w="1960" w:type="dxa"/>
            <w:tcBorders>
              <w:top w:val="single" w:color="000000" w:sz="4" w:space="0"/>
              <w:left w:val="single" w:color="000000" w:sz="4" w:space="0"/>
              <w:bottom w:val="single" w:color="000000" w:sz="4" w:space="0"/>
              <w:right w:val="single" w:color="000000" w:sz="4" w:space="0"/>
            </w:tcBorders>
            <w:noWrap/>
            <w:vAlign w:val="center"/>
          </w:tcPr>
          <w:p w14:paraId="40182C9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申请单位名称（连锁总部）</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066AF4D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center"/>
              <w:rPr>
                <w:rFonts w:hint="eastAsia" w:ascii="仿宋_GB2312" w:hAnsi="仿宋_GB2312" w:eastAsia="仿宋_GB2312" w:cs="仿宋_GB2312"/>
                <w:color w:val="auto"/>
                <w:kern w:val="0"/>
                <w:sz w:val="24"/>
                <w:szCs w:val="24"/>
                <w:lang w:bidi="ar"/>
              </w:rPr>
            </w:pPr>
          </w:p>
        </w:tc>
      </w:tr>
      <w:tr w14:paraId="54A09430">
        <w:tblPrEx>
          <w:tblCellMar>
            <w:top w:w="0" w:type="dxa"/>
            <w:left w:w="108" w:type="dxa"/>
            <w:bottom w:w="0" w:type="dxa"/>
            <w:right w:w="108" w:type="dxa"/>
          </w:tblCellMar>
        </w:tblPrEx>
        <w:trPr>
          <w:trHeight w:val="540" w:hRule="atLeast"/>
        </w:trPr>
        <w:tc>
          <w:tcPr>
            <w:tcW w:w="1960" w:type="dxa"/>
            <w:tcBorders>
              <w:top w:val="single" w:color="000000" w:sz="4" w:space="0"/>
              <w:left w:val="single" w:color="000000" w:sz="4" w:space="0"/>
              <w:bottom w:val="single" w:color="000000" w:sz="4" w:space="0"/>
              <w:right w:val="single" w:color="000000" w:sz="4" w:space="0"/>
            </w:tcBorders>
            <w:noWrap/>
            <w:vAlign w:val="center"/>
          </w:tcPr>
          <w:p w14:paraId="085849F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统一社会信用代码（连锁总部）</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270830D6">
            <w:pPr>
              <w:keepNext w:val="0"/>
              <w:keepLines w:val="0"/>
              <w:pageBreakBefore w:val="0"/>
              <w:widowControl w:val="0"/>
              <w:kinsoku/>
              <w:wordWrap/>
              <w:overflowPunct/>
              <w:topLinePunct w:val="0"/>
              <w:autoSpaceDE/>
              <w:autoSpaceDN/>
              <w:bidi w:val="0"/>
              <w:adjustRightInd/>
              <w:snapToGrid/>
              <w:spacing w:line="360" w:lineRule="exact"/>
              <w:ind w:left="0" w:leftChars="0"/>
              <w:jc w:val="center"/>
              <w:rPr>
                <w:rFonts w:hint="eastAsia" w:ascii="仿宋_GB2312" w:hAnsi="仿宋_GB2312" w:eastAsia="仿宋_GB2312" w:cs="仿宋_GB2312"/>
                <w:color w:val="auto"/>
                <w:sz w:val="24"/>
                <w:szCs w:val="24"/>
              </w:rPr>
            </w:pPr>
          </w:p>
        </w:tc>
      </w:tr>
      <w:tr w14:paraId="497761E7">
        <w:tblPrEx>
          <w:tblCellMar>
            <w:top w:w="0" w:type="dxa"/>
            <w:left w:w="108" w:type="dxa"/>
            <w:bottom w:w="0" w:type="dxa"/>
            <w:right w:w="108" w:type="dxa"/>
          </w:tblCellMar>
        </w:tblPrEx>
        <w:trPr>
          <w:trHeight w:val="480" w:hRule="atLeast"/>
        </w:trPr>
        <w:tc>
          <w:tcPr>
            <w:tcW w:w="1960" w:type="dxa"/>
            <w:tcBorders>
              <w:top w:val="single" w:color="000000" w:sz="4" w:space="0"/>
              <w:left w:val="single" w:color="000000" w:sz="4" w:space="0"/>
              <w:bottom w:val="single" w:color="000000" w:sz="4" w:space="0"/>
              <w:right w:val="single" w:color="000000" w:sz="4" w:space="0"/>
            </w:tcBorders>
            <w:noWrap/>
            <w:vAlign w:val="center"/>
          </w:tcPr>
          <w:p w14:paraId="0928AC8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药品经营许可证编号（连锁总部）</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14723A0B">
            <w:pPr>
              <w:keepNext w:val="0"/>
              <w:keepLines w:val="0"/>
              <w:pageBreakBefore w:val="0"/>
              <w:widowControl w:val="0"/>
              <w:kinsoku/>
              <w:wordWrap/>
              <w:overflowPunct/>
              <w:topLinePunct w:val="0"/>
              <w:autoSpaceDE/>
              <w:autoSpaceDN/>
              <w:bidi w:val="0"/>
              <w:adjustRightInd/>
              <w:snapToGrid/>
              <w:spacing w:line="360" w:lineRule="exact"/>
              <w:ind w:left="0" w:leftChars="0"/>
              <w:jc w:val="center"/>
              <w:rPr>
                <w:rFonts w:hint="eastAsia" w:ascii="仿宋_GB2312" w:hAnsi="仿宋_GB2312" w:eastAsia="仿宋_GB2312" w:cs="仿宋_GB2312"/>
                <w:color w:val="auto"/>
                <w:sz w:val="24"/>
                <w:szCs w:val="24"/>
              </w:rPr>
            </w:pPr>
          </w:p>
        </w:tc>
      </w:tr>
      <w:tr w14:paraId="48C2C309">
        <w:tblPrEx>
          <w:tblCellMar>
            <w:top w:w="0" w:type="dxa"/>
            <w:left w:w="108" w:type="dxa"/>
            <w:bottom w:w="0" w:type="dxa"/>
            <w:right w:w="108" w:type="dxa"/>
          </w:tblCellMar>
        </w:tblPrEx>
        <w:trPr>
          <w:trHeight w:val="480" w:hRule="atLeast"/>
        </w:trPr>
        <w:tc>
          <w:tcPr>
            <w:tcW w:w="1960" w:type="dxa"/>
            <w:tcBorders>
              <w:top w:val="single" w:color="000000" w:sz="4" w:space="0"/>
              <w:left w:val="single" w:color="000000" w:sz="4" w:space="0"/>
              <w:bottom w:val="single" w:color="000000" w:sz="4" w:space="0"/>
              <w:right w:val="single" w:color="000000" w:sz="4" w:space="0"/>
            </w:tcBorders>
            <w:noWrap/>
            <w:vAlign w:val="center"/>
          </w:tcPr>
          <w:p w14:paraId="04B6794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经营</w:t>
            </w:r>
            <w:r>
              <w:rPr>
                <w:rFonts w:hint="eastAsia" w:ascii="仿宋_GB2312" w:hAnsi="仿宋_GB2312" w:eastAsia="仿宋_GB2312" w:cs="仿宋_GB2312"/>
                <w:color w:val="auto"/>
                <w:kern w:val="0"/>
                <w:sz w:val="24"/>
                <w:szCs w:val="24"/>
                <w:lang w:bidi="ar"/>
              </w:rPr>
              <w:t>地址（连锁总部）</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6BED3EBC">
            <w:pPr>
              <w:keepNext w:val="0"/>
              <w:keepLines w:val="0"/>
              <w:pageBreakBefore w:val="0"/>
              <w:widowControl w:val="0"/>
              <w:kinsoku/>
              <w:wordWrap/>
              <w:overflowPunct/>
              <w:topLinePunct w:val="0"/>
              <w:autoSpaceDE/>
              <w:autoSpaceDN/>
              <w:bidi w:val="0"/>
              <w:adjustRightInd/>
              <w:snapToGrid/>
              <w:spacing w:line="360" w:lineRule="exact"/>
              <w:ind w:left="0" w:leftChars="0"/>
              <w:jc w:val="center"/>
              <w:rPr>
                <w:rFonts w:hint="eastAsia" w:ascii="仿宋_GB2312" w:hAnsi="仿宋_GB2312" w:eastAsia="仿宋_GB2312" w:cs="仿宋_GB2312"/>
                <w:color w:val="auto"/>
                <w:sz w:val="24"/>
                <w:szCs w:val="24"/>
              </w:rPr>
            </w:pPr>
          </w:p>
        </w:tc>
      </w:tr>
      <w:tr w14:paraId="750BF357">
        <w:tblPrEx>
          <w:tblCellMar>
            <w:top w:w="0" w:type="dxa"/>
            <w:left w:w="108" w:type="dxa"/>
            <w:bottom w:w="0" w:type="dxa"/>
            <w:right w:w="108" w:type="dxa"/>
          </w:tblCellMar>
        </w:tblPrEx>
        <w:trPr>
          <w:trHeight w:val="600" w:hRule="atLeast"/>
        </w:trPr>
        <w:tc>
          <w:tcPr>
            <w:tcW w:w="1960" w:type="dxa"/>
            <w:tcBorders>
              <w:top w:val="single" w:color="000000" w:sz="4" w:space="0"/>
              <w:left w:val="single" w:color="000000" w:sz="4" w:space="0"/>
              <w:bottom w:val="single" w:color="000000" w:sz="4" w:space="0"/>
              <w:right w:val="single" w:color="000000" w:sz="4" w:space="0"/>
            </w:tcBorders>
            <w:noWrap/>
            <w:vAlign w:val="center"/>
          </w:tcPr>
          <w:p w14:paraId="113934D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仓库地址（连锁总部）</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3CDF2B33">
            <w:pPr>
              <w:keepNext w:val="0"/>
              <w:keepLines w:val="0"/>
              <w:pageBreakBefore w:val="0"/>
              <w:widowControl w:val="0"/>
              <w:kinsoku/>
              <w:wordWrap/>
              <w:overflowPunct/>
              <w:topLinePunct w:val="0"/>
              <w:autoSpaceDE/>
              <w:autoSpaceDN/>
              <w:bidi w:val="0"/>
              <w:adjustRightInd/>
              <w:snapToGrid/>
              <w:spacing w:line="360" w:lineRule="exact"/>
              <w:ind w:left="0" w:leftChars="0"/>
              <w:jc w:val="center"/>
              <w:rPr>
                <w:rFonts w:hint="eastAsia" w:ascii="仿宋_GB2312" w:hAnsi="仿宋_GB2312" w:eastAsia="仿宋_GB2312" w:cs="仿宋_GB2312"/>
                <w:color w:val="auto"/>
                <w:sz w:val="24"/>
                <w:szCs w:val="24"/>
              </w:rPr>
            </w:pPr>
          </w:p>
        </w:tc>
      </w:tr>
      <w:tr w14:paraId="3730292E">
        <w:tblPrEx>
          <w:tblCellMar>
            <w:top w:w="0" w:type="dxa"/>
            <w:left w:w="108" w:type="dxa"/>
            <w:bottom w:w="0" w:type="dxa"/>
            <w:right w:w="108" w:type="dxa"/>
          </w:tblCellMar>
        </w:tblPrEx>
        <w:trPr>
          <w:trHeight w:val="648" w:hRule="atLeast"/>
        </w:trPr>
        <w:tc>
          <w:tcPr>
            <w:tcW w:w="1960" w:type="dxa"/>
            <w:tcBorders>
              <w:top w:val="single" w:color="000000" w:sz="4" w:space="0"/>
              <w:left w:val="single" w:color="000000" w:sz="4" w:space="0"/>
              <w:bottom w:val="single" w:color="000000" w:sz="4" w:space="0"/>
              <w:right w:val="single" w:color="000000" w:sz="4" w:space="0"/>
            </w:tcBorders>
            <w:noWrap/>
            <w:vAlign w:val="center"/>
          </w:tcPr>
          <w:p w14:paraId="3128274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智能储配仓编号</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0F5B35FF">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p>
        </w:tc>
      </w:tr>
      <w:tr w14:paraId="6CC32AD2">
        <w:tblPrEx>
          <w:tblCellMar>
            <w:top w:w="0" w:type="dxa"/>
            <w:left w:w="108" w:type="dxa"/>
            <w:bottom w:w="0" w:type="dxa"/>
            <w:right w:w="108" w:type="dxa"/>
          </w:tblCellMar>
        </w:tblPrEx>
        <w:trPr>
          <w:trHeight w:val="2006" w:hRule="atLeast"/>
        </w:trPr>
        <w:tc>
          <w:tcPr>
            <w:tcW w:w="1960" w:type="dxa"/>
            <w:tcBorders>
              <w:top w:val="single" w:color="000000" w:sz="4" w:space="0"/>
              <w:left w:val="single" w:color="000000" w:sz="4" w:space="0"/>
              <w:right w:val="single" w:color="000000" w:sz="4" w:space="0"/>
            </w:tcBorders>
            <w:noWrap/>
            <w:vAlign w:val="center"/>
          </w:tcPr>
          <w:p w14:paraId="2C9E9163">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智能储配仓</w:t>
            </w:r>
            <w:r>
              <w:rPr>
                <w:rFonts w:hint="eastAsia" w:ascii="仿宋_GB2312" w:hAnsi="仿宋_GB2312" w:eastAsia="仿宋_GB2312" w:cs="仿宋_GB2312"/>
                <w:color w:val="auto"/>
                <w:kern w:val="0"/>
                <w:sz w:val="24"/>
                <w:szCs w:val="24"/>
                <w:lang w:bidi="ar"/>
              </w:rPr>
              <w:t>地址</w:t>
            </w:r>
          </w:p>
        </w:tc>
        <w:tc>
          <w:tcPr>
            <w:tcW w:w="6885" w:type="dxa"/>
            <w:gridSpan w:val="4"/>
            <w:tcBorders>
              <w:top w:val="single" w:color="000000" w:sz="4" w:space="0"/>
              <w:left w:val="single" w:color="000000" w:sz="4" w:space="0"/>
              <w:bottom w:val="single" w:color="000000" w:sz="4" w:space="0"/>
              <w:right w:val="single" w:color="000000" w:sz="4" w:space="0"/>
            </w:tcBorders>
            <w:noWrap/>
            <w:vAlign w:val="center"/>
          </w:tcPr>
          <w:p w14:paraId="7E70B232">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rPr>
            </w:pPr>
          </w:p>
          <w:p w14:paraId="5DE2AB5D">
            <w:pPr>
              <w:pStyle w:val="2"/>
              <w:rPr>
                <w:rFonts w:hint="eastAsia" w:ascii="仿宋_GB2312" w:hAnsi="仿宋_GB2312" w:eastAsia="仿宋_GB2312" w:cs="仿宋_GB2312"/>
                <w:color w:val="auto"/>
                <w:sz w:val="24"/>
                <w:szCs w:val="24"/>
              </w:rPr>
            </w:pPr>
          </w:p>
          <w:p w14:paraId="3B3237FD">
            <w:pPr>
              <w:pStyle w:val="2"/>
              <w:rPr>
                <w:rFonts w:hint="eastAsia" w:ascii="仿宋_GB2312" w:hAnsi="仿宋_GB2312" w:eastAsia="仿宋_GB2312" w:cs="仿宋_GB2312"/>
                <w:color w:val="auto"/>
                <w:sz w:val="24"/>
                <w:szCs w:val="24"/>
              </w:rPr>
            </w:pPr>
          </w:p>
          <w:p w14:paraId="3E78FE44">
            <w:pPr>
              <w:pStyle w:val="2"/>
              <w:rPr>
                <w:rFonts w:hint="eastAsia" w:ascii="仿宋_GB2312" w:hAnsi="仿宋_GB2312" w:eastAsia="仿宋_GB2312" w:cs="仿宋_GB2312"/>
                <w:color w:val="auto"/>
                <w:sz w:val="24"/>
                <w:szCs w:val="24"/>
              </w:rPr>
            </w:pPr>
          </w:p>
          <w:p w14:paraId="796F2271">
            <w:pPr>
              <w:pStyle w:val="2"/>
              <w:rPr>
                <w:rFonts w:hint="eastAsia" w:ascii="仿宋_GB2312" w:hAnsi="仿宋_GB2312" w:eastAsia="仿宋_GB2312" w:cs="仿宋_GB2312"/>
                <w:color w:val="auto"/>
                <w:sz w:val="24"/>
                <w:szCs w:val="24"/>
              </w:rPr>
            </w:pPr>
          </w:p>
          <w:p w14:paraId="350DC203">
            <w:pPr>
              <w:pStyle w:val="2"/>
              <w:ind w:left="0" w:leftChars="0" w:firstLine="0" w:firstLineChars="0"/>
              <w:rPr>
                <w:rFonts w:hint="eastAsia" w:ascii="仿宋_GB2312" w:hAnsi="仿宋_GB2312" w:eastAsia="仿宋_GB2312" w:cs="仿宋_GB2312"/>
                <w:color w:val="auto"/>
                <w:sz w:val="24"/>
                <w:szCs w:val="24"/>
              </w:rPr>
            </w:pPr>
          </w:p>
          <w:p w14:paraId="60323A9F">
            <w:pPr>
              <w:pStyle w:val="2"/>
              <w:rPr>
                <w:rFonts w:hint="eastAsia" w:ascii="仿宋_GB2312" w:hAnsi="仿宋_GB2312" w:eastAsia="仿宋_GB2312" w:cs="仿宋_GB2312"/>
                <w:color w:val="auto"/>
                <w:sz w:val="24"/>
                <w:szCs w:val="24"/>
              </w:rPr>
            </w:pPr>
          </w:p>
          <w:p w14:paraId="55F3ADEB">
            <w:pPr>
              <w:pStyle w:val="2"/>
              <w:ind w:left="0" w:leftChars="0" w:firstLine="0" w:firstLineChars="0"/>
              <w:rPr>
                <w:rFonts w:hint="eastAsia" w:ascii="仿宋_GB2312" w:hAnsi="仿宋_GB2312" w:eastAsia="仿宋_GB2312" w:cs="仿宋_GB2312"/>
                <w:color w:val="auto"/>
                <w:sz w:val="24"/>
                <w:szCs w:val="24"/>
              </w:rPr>
            </w:pPr>
          </w:p>
          <w:p w14:paraId="03BAFC06">
            <w:pPr>
              <w:pStyle w:val="2"/>
              <w:rPr>
                <w:rFonts w:hint="eastAsia" w:ascii="仿宋_GB2312" w:hAnsi="仿宋_GB2312" w:eastAsia="仿宋_GB2312" w:cs="仿宋_GB2312"/>
                <w:color w:val="auto"/>
                <w:sz w:val="24"/>
                <w:szCs w:val="24"/>
              </w:rPr>
            </w:pPr>
          </w:p>
        </w:tc>
      </w:tr>
      <w:tr w14:paraId="537EC92A">
        <w:tblPrEx>
          <w:tblCellMar>
            <w:top w:w="0" w:type="dxa"/>
            <w:left w:w="108" w:type="dxa"/>
            <w:bottom w:w="0" w:type="dxa"/>
            <w:right w:w="108" w:type="dxa"/>
          </w:tblCellMar>
        </w:tblPrEx>
        <w:trPr>
          <w:trHeight w:val="580" w:hRule="atLeast"/>
        </w:trPr>
        <w:tc>
          <w:tcPr>
            <w:tcW w:w="1960" w:type="dxa"/>
            <w:vMerge w:val="restart"/>
            <w:tcBorders>
              <w:top w:val="single" w:color="000000" w:sz="4" w:space="0"/>
              <w:left w:val="single" w:color="000000" w:sz="4" w:space="0"/>
              <w:right w:val="single" w:color="000000" w:sz="4" w:space="0"/>
            </w:tcBorders>
            <w:noWrap/>
            <w:vAlign w:val="center"/>
          </w:tcPr>
          <w:p w14:paraId="195E294A">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智能储配仓</w:t>
            </w:r>
            <w:r>
              <w:rPr>
                <w:rFonts w:hint="eastAsia" w:ascii="仿宋_GB2312" w:hAnsi="仿宋_GB2312" w:eastAsia="仿宋_GB2312" w:cs="仿宋_GB2312"/>
                <w:color w:val="auto"/>
                <w:kern w:val="0"/>
                <w:sz w:val="24"/>
                <w:szCs w:val="24"/>
                <w:lang w:bidi="ar"/>
              </w:rPr>
              <w:t>管理人及联系方式</w:t>
            </w: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2BEE329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姓名</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1BFE89D4">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14:paraId="31E204D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手机</w:t>
            </w:r>
            <w:r>
              <w:rPr>
                <w:rFonts w:hint="eastAsia" w:ascii="仿宋_GB2312" w:hAnsi="仿宋_GB2312" w:eastAsia="仿宋_GB2312" w:cs="仿宋_GB2312"/>
                <w:color w:val="auto"/>
                <w:kern w:val="0"/>
                <w:sz w:val="24"/>
                <w:szCs w:val="24"/>
                <w:lang w:eastAsia="zh-CN" w:bidi="ar"/>
              </w:rPr>
              <w:t>号码</w:t>
            </w:r>
          </w:p>
        </w:tc>
        <w:tc>
          <w:tcPr>
            <w:tcW w:w="3107" w:type="dxa"/>
            <w:tcBorders>
              <w:top w:val="single" w:color="000000" w:sz="4" w:space="0"/>
              <w:left w:val="single" w:color="000000" w:sz="4" w:space="0"/>
              <w:bottom w:val="single" w:color="000000" w:sz="4" w:space="0"/>
              <w:right w:val="single" w:color="000000" w:sz="4" w:space="0"/>
            </w:tcBorders>
            <w:noWrap/>
            <w:vAlign w:val="center"/>
          </w:tcPr>
          <w:p w14:paraId="2FC49145">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仿宋_GB2312" w:hAnsi="仿宋_GB2312" w:eastAsia="仿宋_GB2312" w:cs="仿宋_GB2312"/>
                <w:color w:val="auto"/>
                <w:sz w:val="24"/>
                <w:szCs w:val="24"/>
              </w:rPr>
            </w:pPr>
          </w:p>
        </w:tc>
      </w:tr>
      <w:tr w14:paraId="125C30CB">
        <w:tblPrEx>
          <w:tblCellMar>
            <w:top w:w="0" w:type="dxa"/>
            <w:left w:w="108" w:type="dxa"/>
            <w:bottom w:w="0" w:type="dxa"/>
            <w:right w:w="108" w:type="dxa"/>
          </w:tblCellMar>
        </w:tblPrEx>
        <w:trPr>
          <w:trHeight w:val="480" w:hRule="atLeast"/>
        </w:trPr>
        <w:tc>
          <w:tcPr>
            <w:tcW w:w="1960" w:type="dxa"/>
            <w:vMerge w:val="continue"/>
            <w:tcBorders>
              <w:left w:val="single" w:color="000000" w:sz="4" w:space="0"/>
              <w:right w:val="single" w:color="000000" w:sz="4" w:space="0"/>
            </w:tcBorders>
            <w:noWrap/>
            <w:vAlign w:val="center"/>
          </w:tcPr>
          <w:p w14:paraId="603D66BC">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4E87F34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姓名</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28B654F9">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14:paraId="047A6CD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手机</w:t>
            </w:r>
            <w:r>
              <w:rPr>
                <w:rFonts w:hint="eastAsia" w:ascii="仿宋_GB2312" w:hAnsi="仿宋_GB2312" w:eastAsia="仿宋_GB2312" w:cs="仿宋_GB2312"/>
                <w:color w:val="auto"/>
                <w:kern w:val="0"/>
                <w:sz w:val="24"/>
                <w:szCs w:val="24"/>
                <w:lang w:eastAsia="zh-CN" w:bidi="ar"/>
              </w:rPr>
              <w:t>号码</w:t>
            </w:r>
          </w:p>
        </w:tc>
        <w:tc>
          <w:tcPr>
            <w:tcW w:w="3107" w:type="dxa"/>
            <w:tcBorders>
              <w:top w:val="single" w:color="000000" w:sz="4" w:space="0"/>
              <w:left w:val="single" w:color="000000" w:sz="4" w:space="0"/>
              <w:bottom w:val="single" w:color="000000" w:sz="4" w:space="0"/>
              <w:right w:val="single" w:color="000000" w:sz="4" w:space="0"/>
            </w:tcBorders>
            <w:noWrap/>
            <w:vAlign w:val="center"/>
          </w:tcPr>
          <w:p w14:paraId="358FC1F1">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仿宋_GB2312" w:hAnsi="仿宋_GB2312" w:eastAsia="仿宋_GB2312" w:cs="仿宋_GB2312"/>
                <w:color w:val="auto"/>
                <w:sz w:val="24"/>
                <w:szCs w:val="24"/>
              </w:rPr>
            </w:pPr>
          </w:p>
        </w:tc>
      </w:tr>
      <w:tr w14:paraId="28B5FC55">
        <w:tblPrEx>
          <w:tblCellMar>
            <w:top w:w="0" w:type="dxa"/>
            <w:left w:w="108" w:type="dxa"/>
            <w:bottom w:w="0" w:type="dxa"/>
            <w:right w:w="108" w:type="dxa"/>
          </w:tblCellMar>
        </w:tblPrEx>
        <w:trPr>
          <w:trHeight w:val="520" w:hRule="atLeast"/>
        </w:trPr>
        <w:tc>
          <w:tcPr>
            <w:tcW w:w="1960" w:type="dxa"/>
            <w:vMerge w:val="continue"/>
            <w:tcBorders>
              <w:left w:val="single" w:color="000000" w:sz="4" w:space="0"/>
              <w:bottom w:val="single" w:color="auto" w:sz="4" w:space="0"/>
              <w:right w:val="single" w:color="000000" w:sz="4" w:space="0"/>
            </w:tcBorders>
            <w:noWrap/>
            <w:vAlign w:val="center"/>
          </w:tcPr>
          <w:p w14:paraId="5E7EC18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rPr>
            </w:pPr>
          </w:p>
        </w:tc>
        <w:tc>
          <w:tcPr>
            <w:tcW w:w="958" w:type="dxa"/>
            <w:tcBorders>
              <w:top w:val="single" w:color="000000" w:sz="4" w:space="0"/>
              <w:left w:val="single" w:color="000000" w:sz="4" w:space="0"/>
              <w:bottom w:val="single" w:color="auto" w:sz="4" w:space="0"/>
              <w:right w:val="single" w:color="000000" w:sz="4" w:space="0"/>
            </w:tcBorders>
            <w:noWrap/>
            <w:vAlign w:val="center"/>
          </w:tcPr>
          <w:p w14:paraId="78E6E1C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姓名</w:t>
            </w:r>
          </w:p>
        </w:tc>
        <w:tc>
          <w:tcPr>
            <w:tcW w:w="1625" w:type="dxa"/>
            <w:tcBorders>
              <w:top w:val="single" w:color="000000" w:sz="4" w:space="0"/>
              <w:left w:val="single" w:color="000000" w:sz="4" w:space="0"/>
              <w:bottom w:val="single" w:color="auto" w:sz="4" w:space="0"/>
              <w:right w:val="single" w:color="000000" w:sz="4" w:space="0"/>
            </w:tcBorders>
            <w:noWrap/>
            <w:vAlign w:val="center"/>
          </w:tcPr>
          <w:p w14:paraId="2539E4EE">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p>
        </w:tc>
        <w:tc>
          <w:tcPr>
            <w:tcW w:w="1195" w:type="dxa"/>
            <w:tcBorders>
              <w:top w:val="single" w:color="000000" w:sz="4" w:space="0"/>
              <w:left w:val="single" w:color="000000" w:sz="4" w:space="0"/>
              <w:bottom w:val="single" w:color="auto" w:sz="4" w:space="0"/>
              <w:right w:val="single" w:color="000000" w:sz="4" w:space="0"/>
            </w:tcBorders>
            <w:noWrap/>
            <w:vAlign w:val="center"/>
          </w:tcPr>
          <w:p w14:paraId="1A5E059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手机</w:t>
            </w:r>
            <w:r>
              <w:rPr>
                <w:rFonts w:hint="eastAsia" w:ascii="仿宋_GB2312" w:hAnsi="仿宋_GB2312" w:eastAsia="仿宋_GB2312" w:cs="仿宋_GB2312"/>
                <w:color w:val="auto"/>
                <w:kern w:val="0"/>
                <w:sz w:val="24"/>
                <w:szCs w:val="24"/>
                <w:lang w:eastAsia="zh-CN" w:bidi="ar"/>
              </w:rPr>
              <w:t>号码</w:t>
            </w:r>
          </w:p>
        </w:tc>
        <w:tc>
          <w:tcPr>
            <w:tcW w:w="3107" w:type="dxa"/>
            <w:tcBorders>
              <w:top w:val="single" w:color="000000" w:sz="4" w:space="0"/>
              <w:left w:val="single" w:color="000000" w:sz="4" w:space="0"/>
              <w:bottom w:val="single" w:color="auto" w:sz="4" w:space="0"/>
              <w:right w:val="single" w:color="000000" w:sz="4" w:space="0"/>
            </w:tcBorders>
            <w:noWrap/>
            <w:vAlign w:val="center"/>
          </w:tcPr>
          <w:p w14:paraId="75AF3184">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仿宋_GB2312" w:hAnsi="仿宋_GB2312" w:eastAsia="仿宋_GB2312" w:cs="仿宋_GB2312"/>
                <w:color w:val="auto"/>
                <w:sz w:val="24"/>
                <w:szCs w:val="24"/>
              </w:rPr>
            </w:pPr>
          </w:p>
        </w:tc>
      </w:tr>
      <w:tr w14:paraId="3E94E936">
        <w:tblPrEx>
          <w:tblCellMar>
            <w:top w:w="0" w:type="dxa"/>
            <w:left w:w="108" w:type="dxa"/>
            <w:bottom w:w="0" w:type="dxa"/>
            <w:right w:w="108" w:type="dxa"/>
          </w:tblCellMar>
        </w:tblPrEx>
        <w:trPr>
          <w:trHeight w:val="2060" w:hRule="atLeast"/>
        </w:trPr>
        <w:tc>
          <w:tcPr>
            <w:tcW w:w="1960" w:type="dxa"/>
            <w:tcBorders>
              <w:top w:val="single" w:color="auto" w:sz="4" w:space="0"/>
              <w:left w:val="single" w:color="auto" w:sz="4" w:space="0"/>
              <w:bottom w:val="single" w:color="auto" w:sz="4" w:space="0"/>
              <w:right w:val="single" w:color="000000" w:sz="4" w:space="0"/>
            </w:tcBorders>
            <w:noWrap/>
            <w:vAlign w:val="center"/>
          </w:tcPr>
          <w:p w14:paraId="28A8F0AB">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市（州）</w:t>
            </w:r>
            <w:r>
              <w:rPr>
                <w:rFonts w:hint="eastAsia" w:ascii="仿宋_GB2312" w:hAnsi="仿宋_GB2312" w:eastAsia="仿宋_GB2312" w:cs="仿宋_GB2312"/>
                <w:color w:val="auto"/>
                <w:kern w:val="0"/>
                <w:sz w:val="24"/>
                <w:szCs w:val="24"/>
                <w:lang w:eastAsia="zh-CN" w:bidi="ar"/>
              </w:rPr>
              <w:t>市场监管局</w:t>
            </w:r>
            <w:r>
              <w:rPr>
                <w:rFonts w:hint="eastAsia" w:ascii="仿宋_GB2312" w:hAnsi="仿宋_GB2312" w:eastAsia="仿宋_GB2312" w:cs="仿宋_GB2312"/>
                <w:color w:val="auto"/>
                <w:kern w:val="0"/>
                <w:sz w:val="24"/>
                <w:szCs w:val="24"/>
                <w:lang w:bidi="ar"/>
              </w:rPr>
              <w:t>意见</w:t>
            </w:r>
          </w:p>
          <w:p w14:paraId="6365896E">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sz w:val="24"/>
                <w:szCs w:val="24"/>
              </w:rPr>
            </w:pPr>
          </w:p>
        </w:tc>
        <w:tc>
          <w:tcPr>
            <w:tcW w:w="6885" w:type="dxa"/>
            <w:gridSpan w:val="4"/>
            <w:tcBorders>
              <w:top w:val="single" w:color="auto" w:sz="4" w:space="0"/>
              <w:left w:val="single" w:color="auto" w:sz="4" w:space="0"/>
              <w:bottom w:val="single" w:color="auto" w:sz="4" w:space="0"/>
              <w:right w:val="single" w:color="auto" w:sz="4" w:space="0"/>
            </w:tcBorders>
            <w:noWrap/>
            <w:vAlign w:val="center"/>
          </w:tcPr>
          <w:p w14:paraId="76D68837">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kern w:val="0"/>
                <w:sz w:val="24"/>
                <w:szCs w:val="24"/>
                <w:lang w:bidi="ar"/>
              </w:rPr>
            </w:pPr>
          </w:p>
          <w:p w14:paraId="3FE35F39">
            <w:pPr>
              <w:keepNext w:val="0"/>
              <w:keepLines w:val="0"/>
              <w:pageBreakBefore w:val="0"/>
              <w:widowControl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color w:val="auto"/>
                <w:kern w:val="0"/>
                <w:sz w:val="24"/>
                <w:szCs w:val="24"/>
                <w:lang w:bidi="ar"/>
              </w:rPr>
            </w:pPr>
          </w:p>
          <w:p w14:paraId="78202334">
            <w:pPr>
              <w:pStyle w:val="2"/>
              <w:rPr>
                <w:rFonts w:hint="eastAsia" w:ascii="仿宋_GB2312" w:hAnsi="仿宋_GB2312" w:eastAsia="仿宋_GB2312" w:cs="仿宋_GB2312"/>
                <w:color w:val="auto"/>
                <w:kern w:val="0"/>
                <w:sz w:val="24"/>
                <w:szCs w:val="24"/>
                <w:lang w:bidi="ar"/>
              </w:rPr>
            </w:pPr>
          </w:p>
          <w:p w14:paraId="26D077EB">
            <w:pPr>
              <w:pStyle w:val="2"/>
              <w:rPr>
                <w:rFonts w:hint="eastAsia" w:ascii="仿宋_GB2312" w:hAnsi="仿宋_GB2312" w:eastAsia="仿宋_GB2312" w:cs="仿宋_GB2312"/>
                <w:color w:val="auto"/>
                <w:kern w:val="0"/>
                <w:sz w:val="24"/>
                <w:szCs w:val="24"/>
                <w:lang w:bidi="ar"/>
              </w:rPr>
            </w:pPr>
          </w:p>
          <w:p w14:paraId="150EABDD">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年   月    日</w:t>
            </w:r>
          </w:p>
        </w:tc>
      </w:tr>
      <w:tr w14:paraId="54604572">
        <w:tblPrEx>
          <w:tblCellMar>
            <w:top w:w="0" w:type="dxa"/>
            <w:left w:w="108" w:type="dxa"/>
            <w:bottom w:w="0" w:type="dxa"/>
            <w:right w:w="108" w:type="dxa"/>
          </w:tblCellMar>
        </w:tblPrEx>
        <w:trPr>
          <w:trHeight w:val="455" w:hRule="atLeast"/>
        </w:trPr>
        <w:tc>
          <w:tcPr>
            <w:tcW w:w="8845" w:type="dxa"/>
            <w:gridSpan w:val="5"/>
            <w:tcBorders>
              <w:top w:val="single" w:color="auto" w:sz="4" w:space="0"/>
              <w:left w:val="nil"/>
              <w:bottom w:val="nil"/>
              <w:right w:val="nil"/>
            </w:tcBorders>
            <w:noWrap/>
            <w:vAlign w:val="center"/>
          </w:tcPr>
          <w:p w14:paraId="002567D7">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此表一式</w:t>
            </w:r>
            <w:r>
              <w:rPr>
                <w:rFonts w:hint="eastAsia" w:ascii="仿宋_GB2312" w:hAnsi="仿宋_GB2312" w:eastAsia="仿宋_GB2312" w:cs="仿宋_GB2312"/>
                <w:color w:val="auto"/>
                <w:kern w:val="0"/>
                <w:sz w:val="24"/>
                <w:szCs w:val="24"/>
                <w:lang w:val="en-US" w:eastAsia="zh-CN" w:bidi="ar"/>
              </w:rPr>
              <w:t>二</w:t>
            </w:r>
            <w:r>
              <w:rPr>
                <w:rFonts w:hint="eastAsia" w:ascii="仿宋_GB2312" w:hAnsi="仿宋_GB2312" w:eastAsia="仿宋_GB2312" w:cs="仿宋_GB2312"/>
                <w:color w:val="auto"/>
                <w:kern w:val="0"/>
                <w:sz w:val="24"/>
                <w:szCs w:val="24"/>
                <w:lang w:bidi="ar"/>
              </w:rPr>
              <w:t>份，</w:t>
            </w:r>
            <w:r>
              <w:rPr>
                <w:rFonts w:hint="eastAsia" w:ascii="仿宋_GB2312" w:hAnsi="仿宋_GB2312" w:eastAsia="仿宋_GB2312" w:cs="仿宋_GB2312"/>
                <w:color w:val="auto"/>
                <w:kern w:val="0"/>
                <w:sz w:val="24"/>
                <w:szCs w:val="24"/>
                <w:lang w:val="en-US" w:eastAsia="zh-CN" w:bidi="ar"/>
              </w:rPr>
              <w:t>省药品监督管理局</w:t>
            </w:r>
            <w:r>
              <w:rPr>
                <w:rFonts w:hint="eastAsia" w:ascii="仿宋_GB2312" w:hAnsi="仿宋_GB2312" w:eastAsia="仿宋_GB2312" w:cs="仿宋_GB2312"/>
                <w:color w:val="auto"/>
                <w:kern w:val="0"/>
                <w:sz w:val="24"/>
                <w:szCs w:val="24"/>
                <w:lang w:eastAsia="zh-CN" w:bidi="ar"/>
              </w:rPr>
              <w:t>、智能储配仓</w:t>
            </w:r>
            <w:r>
              <w:rPr>
                <w:rFonts w:hint="eastAsia" w:ascii="仿宋_GB2312" w:hAnsi="仿宋_GB2312" w:eastAsia="仿宋_GB2312" w:cs="仿宋_GB2312"/>
                <w:color w:val="auto"/>
                <w:kern w:val="0"/>
                <w:sz w:val="24"/>
                <w:szCs w:val="24"/>
                <w:lang w:val="en-US" w:eastAsia="zh-CN" w:bidi="ar"/>
              </w:rPr>
              <w:t>设置地地市级药品监管部门</w:t>
            </w:r>
            <w:r>
              <w:rPr>
                <w:rFonts w:hint="eastAsia" w:ascii="仿宋_GB2312" w:hAnsi="仿宋_GB2312" w:eastAsia="仿宋_GB2312" w:cs="仿宋_GB2312"/>
                <w:color w:val="auto"/>
                <w:kern w:val="0"/>
                <w:sz w:val="24"/>
                <w:szCs w:val="24"/>
                <w:lang w:eastAsia="zh-CN" w:bidi="ar"/>
              </w:rPr>
              <w:t>各</w:t>
            </w:r>
            <w:r>
              <w:rPr>
                <w:rFonts w:hint="eastAsia" w:ascii="仿宋_GB2312" w:hAnsi="仿宋_GB2312" w:eastAsia="仿宋_GB2312" w:cs="仿宋_GB2312"/>
                <w:color w:val="auto"/>
                <w:kern w:val="0"/>
                <w:sz w:val="24"/>
                <w:szCs w:val="24"/>
                <w:lang w:val="en-US" w:eastAsia="zh-CN" w:bidi="ar"/>
              </w:rPr>
              <w:t>1</w:t>
            </w:r>
            <w:r>
              <w:rPr>
                <w:rFonts w:hint="eastAsia" w:ascii="仿宋_GB2312" w:hAnsi="仿宋_GB2312" w:eastAsia="仿宋_GB2312" w:cs="仿宋_GB2312"/>
                <w:color w:val="auto"/>
                <w:kern w:val="0"/>
                <w:sz w:val="24"/>
                <w:szCs w:val="24"/>
                <w:lang w:eastAsia="zh-CN" w:bidi="ar"/>
              </w:rPr>
              <w:t>份。</w:t>
            </w:r>
          </w:p>
        </w:tc>
      </w:tr>
    </w:tbl>
    <w:p w14:paraId="438B99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val="en-US" w:eastAsia="zh-CN"/>
        </w:rPr>
      </w:pPr>
    </w:p>
    <w:p w14:paraId="1C395AB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5C4F"/>
    <w:rsid w:val="36381821"/>
    <w:rsid w:val="42BC0D88"/>
    <w:rsid w:val="7F7F5C4F"/>
    <w:rsid w:val="7FFD8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3978</Words>
  <Characters>4003</Characters>
  <Lines>0</Lines>
  <Paragraphs>0</Paragraphs>
  <TotalTime>1.33333333333333</TotalTime>
  <ScaleCrop>false</ScaleCrop>
  <LinksUpToDate>false</LinksUpToDate>
  <CharactersWithSpaces>4085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2025-06-19T00:15:00Z</dcterms:created>
  <dc:creator>user</dc:creator>
  <cp:lastModifiedBy>杨思明</cp:lastModifiedBy>
  <dcterms:modified xsi:type="dcterms:W3CDTF">2025-06-19T08:11:49Z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B57282CE63E84BD8ADCF93712F8CADDC_13</vt:lpwstr>
  </property>
</Properties>
</file>