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C16D9">
      <w:pPr>
        <w:pStyle w:val="2"/>
        <w:ind w:firstLine="1878" w:firstLineChars="592"/>
        <w:rPr>
          <w:sz w:val="32"/>
          <w:szCs w:val="32"/>
        </w:rPr>
      </w:pPr>
      <w:bookmarkStart w:id="0" w:name="_Toc177734936"/>
      <w:r>
        <w:rPr>
          <w:rFonts w:hint="eastAsia"/>
          <w:spacing w:val="-2"/>
          <w:sz w:val="32"/>
          <w:szCs w:val="32"/>
          <w:lang w:eastAsia="zh-CN"/>
        </w:rPr>
        <w:t>山楂</w:t>
      </w:r>
      <w:r>
        <w:rPr>
          <w:rFonts w:hint="eastAsia"/>
          <w:spacing w:val="-2"/>
          <w:sz w:val="32"/>
          <w:szCs w:val="32"/>
        </w:rPr>
        <w:t>质量</w:t>
      </w:r>
      <w:r>
        <w:rPr>
          <w:spacing w:val="-2"/>
          <w:sz w:val="32"/>
          <w:szCs w:val="32"/>
        </w:rPr>
        <w:t>标准草案</w:t>
      </w:r>
      <w:bookmarkEnd w:id="0"/>
      <w:r>
        <w:rPr>
          <w:rFonts w:hint="eastAsia"/>
          <w:spacing w:val="-2"/>
          <w:sz w:val="32"/>
          <w:szCs w:val="32"/>
        </w:rPr>
        <w:t>（征求意见稿）</w:t>
      </w:r>
    </w:p>
    <w:p w14:paraId="4A7C3BCE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山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楂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山里红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）</w:t>
      </w:r>
    </w:p>
    <w:p w14:paraId="64BC1960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1"/>
          <w:szCs w:val="21"/>
          <w:shd w:val="clear" w:color="auto" w:fill="FFFFFF"/>
          <w:lang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21"/>
          <w:szCs w:val="21"/>
          <w:shd w:val="clear" w:color="auto" w:fill="FFFFFF"/>
        </w:rPr>
        <w:t>Shanzha</w:t>
      </w: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  <w:t>shanlihong</w:t>
      </w:r>
      <w:r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21"/>
          <w:szCs w:val="21"/>
          <w:shd w:val="clear" w:color="auto" w:fill="FFFFFF"/>
          <w:lang w:eastAsia="zh-CN"/>
        </w:rPr>
        <w:t>）</w:t>
      </w:r>
    </w:p>
    <w:p w14:paraId="78DD812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CRATAEGI FRUCTUS</w:t>
      </w:r>
    </w:p>
    <w:p w14:paraId="7DF03C52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【来源】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品为蔷薇科植物山里红</w:t>
      </w:r>
      <w:r>
        <w:rPr>
          <w:rFonts w:ascii="Times New Roman" w:hAnsi="Times New Roman" w:eastAsia="宋体" w:cs="Times New Roman"/>
          <w:i/>
          <w:iCs/>
          <w:color w:val="auto"/>
          <w:sz w:val="24"/>
          <w:szCs w:val="24"/>
        </w:rPr>
        <w:t xml:space="preserve">Crataegus pinnatifida </w:t>
      </w:r>
      <w:r>
        <w:rPr>
          <w:rFonts w:ascii="Times New Roman" w:hAnsi="Times New Roman" w:eastAsia="宋体" w:cs="Times New Roman"/>
          <w:iCs/>
          <w:color w:val="auto"/>
          <w:sz w:val="24"/>
          <w:szCs w:val="24"/>
        </w:rPr>
        <w:t>Bge. var.</w:t>
      </w:r>
      <w:r>
        <w:rPr>
          <w:rFonts w:ascii="Times New Roman" w:hAnsi="Times New Roman" w:eastAsia="宋体" w:cs="Times New Roman"/>
          <w:i/>
          <w:iCs/>
          <w:color w:val="auto"/>
          <w:sz w:val="24"/>
          <w:szCs w:val="24"/>
        </w:rPr>
        <w:t xml:space="preserve"> major </w:t>
      </w:r>
      <w:r>
        <w:rPr>
          <w:rFonts w:ascii="Times New Roman" w:hAnsi="Times New Roman" w:eastAsia="宋体" w:cs="Times New Roman"/>
          <w:iCs/>
          <w:color w:val="auto"/>
          <w:sz w:val="24"/>
          <w:szCs w:val="24"/>
        </w:rPr>
        <w:t>N. E. Br.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的新鲜成熟果实。</w:t>
      </w:r>
      <w:r>
        <w:rPr>
          <w:rFonts w:ascii="Times New Roman" w:hAnsi="Times New Roman" w:eastAsia="宋体" w:cs="Times New Roman"/>
          <w:sz w:val="24"/>
          <w:szCs w:val="24"/>
        </w:rPr>
        <w:t>秋季果实成熟时采收。</w:t>
      </w:r>
    </w:p>
    <w:p w14:paraId="02760D70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黑体" w:hAnsi="黑体" w:eastAsia="黑体" w:cs="黑体"/>
          <w:bCs/>
          <w:sz w:val="24"/>
          <w:szCs w:val="24"/>
        </w:rPr>
        <w:t>【炮制】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取鲜山楂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山里红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</w:rPr>
        <w:t>净选，</w:t>
      </w:r>
      <w:r>
        <w:rPr>
          <w:rFonts w:ascii="Times New Roman" w:hAnsi="Times New Roman" w:eastAsia="宋体" w:cs="Times New Roman"/>
          <w:sz w:val="24"/>
          <w:szCs w:val="24"/>
        </w:rPr>
        <w:t>洗净，切厚片，冷冻干燥。</w:t>
      </w:r>
    </w:p>
    <w:p w14:paraId="45B9035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黑体" w:hAnsi="黑体" w:eastAsia="黑体" w:cs="黑体"/>
          <w:bCs/>
          <w:sz w:val="24"/>
          <w:szCs w:val="24"/>
        </w:rPr>
        <w:t>【性状】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本品为圆形片，较平整，直径1.</w:t>
      </w:r>
      <w:r>
        <w:rPr>
          <w:rFonts w:hint="eastAsia" w:ascii="Times New Roman" w:hAnsi="Times New Roman" w:eastAsia="宋体" w:cs="Times New Roman"/>
          <w:sz w:val="24"/>
          <w:szCs w:val="24"/>
        </w:rPr>
        <w:t>8</w:t>
      </w:r>
      <w:r>
        <w:rPr>
          <w:rFonts w:ascii="Times New Roman" w:hAnsi="Times New Roman" w:eastAsia="宋体" w:cs="Times New Roman"/>
          <w:sz w:val="24"/>
          <w:szCs w:val="24"/>
        </w:rPr>
        <w:t>～3.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0 </w:t>
      </w:r>
      <w:r>
        <w:rPr>
          <w:rFonts w:ascii="Times New Roman" w:hAnsi="Times New Roman" w:eastAsia="宋体" w:cs="Times New Roman"/>
          <w:sz w:val="24"/>
          <w:szCs w:val="24"/>
        </w:rPr>
        <w:t>cm，厚0.2～0.4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cm。外皮红色，有灰白色小斑点。果肉浅黄色至浅棕色。中部横切片具5粒浅黄色果核，但核多脱落而中空。有的片上可见短而细的果梗或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花萼残迹。气微清香，味酸、微甜。</w:t>
      </w:r>
    </w:p>
    <w:p w14:paraId="55A1CFA4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【鉴别】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（1）本品粉末</w:t>
      </w:r>
      <w:r>
        <w:rPr>
          <w:rFonts w:hint="eastAsia" w:ascii="Times New Roman" w:hAnsi="Times New Roman" w:eastAsia="宋体" w:cs="Times New Roman"/>
          <w:sz w:val="24"/>
          <w:szCs w:val="24"/>
        </w:rPr>
        <w:t>浅棕色</w:t>
      </w:r>
      <w:r>
        <w:rPr>
          <w:rFonts w:ascii="Times New Roman" w:hAnsi="Times New Roman" w:eastAsia="宋体" w:cs="Times New Roman"/>
          <w:sz w:val="24"/>
          <w:szCs w:val="24"/>
        </w:rPr>
        <w:t>至</w:t>
      </w:r>
      <w:r>
        <w:rPr>
          <w:rFonts w:hint="eastAsia" w:ascii="Times New Roman" w:hAnsi="Times New Roman" w:eastAsia="宋体" w:cs="Times New Roman"/>
          <w:sz w:val="24"/>
          <w:szCs w:val="24"/>
        </w:rPr>
        <w:t>红</w:t>
      </w:r>
      <w:r>
        <w:rPr>
          <w:rFonts w:ascii="Times New Roman" w:hAnsi="Times New Roman" w:eastAsia="宋体" w:cs="Times New Roman"/>
          <w:sz w:val="24"/>
          <w:szCs w:val="24"/>
        </w:rPr>
        <w:t>棕色。石细胞单个散在或成群，无色或淡黄色，类多角形、长圆形或不规则形，直径19～125μm，孔沟及层纹明显，有的胞腔内含深棕色物。果皮表皮细胞表面观呈类圆形或类多角形，壁稍厚，胞腔内常含红棕色或黄棕色物。草酸钙方晶或簇晶存于果肉薄壁细胞中。</w:t>
      </w:r>
    </w:p>
    <w:p w14:paraId="3311A98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（2）取本品粉末1g，加乙酸乙酯4ml，超声处理15分钟，滤过，取滤液作为供试品溶液。另取熊果酸对照品，加甲醇制成每1ml含1mg的溶液，作为对照品溶液。照薄层色谱法（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0502）试验，吸取上述两种溶液各4μl，分别点于同一硅胶G薄层板上，以甲苯-乙酸乙酯-甲酸（20∶4∶0.5）为展开剂，展开，取出，晾干，喷以硫酸乙醇溶液（3→10），在80℃加热至斑点显色清晰。供试品色谱中，在与对照品色谱相应的位置上，显相同的紫红色斑点；置紫外光灯（365nm）下检视，显相同的橙黄色荧光斑点。</w:t>
      </w:r>
    </w:p>
    <w:p w14:paraId="070A403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黑体" w:hAnsi="黑体" w:eastAsia="黑体" w:cs="黑体"/>
          <w:bCs/>
          <w:sz w:val="24"/>
          <w:szCs w:val="24"/>
        </w:rPr>
        <w:t>【检査】</w:t>
      </w:r>
      <w:r>
        <w:rPr>
          <w:rFonts w:hint="eastAsia" w:ascii="黑体" w:hAnsi="黑体" w:eastAsia="黑体" w:cs="黑体"/>
          <w:bCs/>
          <w:sz w:val="24"/>
          <w:szCs w:val="24"/>
        </w:rPr>
        <w:t xml:space="preserve"> </w:t>
      </w:r>
      <w:r>
        <w:rPr>
          <w:rFonts w:ascii="黑体" w:hAnsi="黑体" w:eastAsia="黑体" w:cs="黑体"/>
          <w:bCs/>
          <w:sz w:val="24"/>
          <w:szCs w:val="24"/>
        </w:rPr>
        <w:t>水分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不得过12.0%（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0832第二法）。</w:t>
      </w:r>
    </w:p>
    <w:p w14:paraId="0AE22D20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总灰分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不得过3.0% 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2302）。</w:t>
      </w:r>
    </w:p>
    <w:p w14:paraId="46E1CDB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bCs/>
          <w:sz w:val="24"/>
        </w:rPr>
      </w:pPr>
      <w:r>
        <w:rPr>
          <w:rFonts w:ascii="黑体" w:hAnsi="黑体" w:eastAsia="黑体" w:cs="黑体"/>
          <w:bCs/>
          <w:sz w:val="24"/>
          <w:szCs w:val="24"/>
        </w:rPr>
        <w:t>重金属及有害元素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照铅、镉、砷、汞、铜测定法（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通则2321原子吸收分光光度法或电感耦合等离子体质谱法）测定，铅不得过5mg/kg；镉不得过1mg/kg；砷不得过2mg/kg；汞不得过0.2mg/kg；铜不得过20mg/kg。</w:t>
      </w:r>
    </w:p>
    <w:p w14:paraId="095B316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【浸出物】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照醇溶性浸出物测定法（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2201）项下的热浸法测定，用乙醇作溶剂，不得少于21.0%。</w:t>
      </w:r>
    </w:p>
    <w:p w14:paraId="0CE1C69E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【含量测定】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取本品细粉约1g，精密称定，精密加入水100ml，室温下浸泡4小时，时时振摇，滤过。精密量取续滤液25ml，加水50ml，加酚酞指示液2滴，用氢氧化钠滴定液（0.1mol/L）滴定，即得。每1ml氢氧化钠滴定液（0.1mol/L）相当于6.404mg的枸橼酸（C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eastAsia="宋体" w:cs="Times New Roman"/>
          <w:bCs/>
          <w:sz w:val="24"/>
          <w:szCs w:val="24"/>
        </w:rPr>
        <w:t>H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bCs/>
          <w:sz w:val="24"/>
          <w:szCs w:val="24"/>
        </w:rPr>
        <w:t>O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7</w:t>
      </w:r>
      <w:r>
        <w:rPr>
          <w:rFonts w:ascii="Times New Roman" w:hAnsi="Times New Roman" w:eastAsia="宋体" w:cs="Times New Roman"/>
          <w:bCs/>
          <w:sz w:val="24"/>
          <w:szCs w:val="24"/>
        </w:rPr>
        <w:t>）。</w:t>
      </w:r>
    </w:p>
    <w:p w14:paraId="0396FC92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本品按干燥品计算，含有机酸以枸橼酸（C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 w:eastAsia="宋体" w:cs="Times New Roman"/>
          <w:bCs/>
          <w:sz w:val="24"/>
          <w:szCs w:val="24"/>
        </w:rPr>
        <w:t>H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bCs/>
          <w:sz w:val="24"/>
          <w:szCs w:val="24"/>
        </w:rPr>
        <w:t>O</w:t>
      </w:r>
      <w:r>
        <w:rPr>
          <w:rFonts w:ascii="Times New Roman" w:hAnsi="Times New Roman" w:eastAsia="宋体" w:cs="Times New Roman"/>
          <w:bCs/>
          <w:sz w:val="24"/>
          <w:szCs w:val="24"/>
          <w:vertAlign w:val="subscript"/>
        </w:rPr>
        <w:t>7</w:t>
      </w:r>
      <w:r>
        <w:rPr>
          <w:rFonts w:ascii="Times New Roman" w:hAnsi="Times New Roman" w:eastAsia="宋体" w:cs="Times New Roman"/>
          <w:bCs/>
          <w:sz w:val="24"/>
          <w:szCs w:val="24"/>
        </w:rPr>
        <w:t>）计，不得少于5.0%。</w:t>
      </w:r>
    </w:p>
    <w:p w14:paraId="0F3AEC7C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【性味与归经】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酸、甘，微温。归脾、胃、肝经。</w:t>
      </w:r>
    </w:p>
    <w:p w14:paraId="3A9F66F5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【功能主治】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消食健胃，行气散瘀，化浊降脂。用于肉食积滞，胃脘胀满，泻痢腹痛，瘀血经闭，产后瘀阻，心腹刺痛，胸痹心痛，疝气疼痛，高脂血症。</w:t>
      </w:r>
    </w:p>
    <w:p w14:paraId="4400FE7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【用法与用量】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9～12g。</w:t>
      </w:r>
    </w:p>
    <w:p w14:paraId="1C73EABF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【贮藏】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密封，置通风干燥处，防蛀。</w:t>
      </w:r>
    </w:p>
    <w:p w14:paraId="175DE414">
      <w:pPr>
        <w:spacing w:line="360" w:lineRule="auto"/>
        <w:ind w:firstLine="480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黑体" w:cs="Times New Roman"/>
          <w:sz w:val="24"/>
          <w:szCs w:val="24"/>
          <w:highlight w:val="none"/>
        </w:rPr>
        <w:t>【药材收载标准】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ascii="Times New Roman" w:hAnsi="Times New Roman" w:cs="Times New Roman"/>
          <w:sz w:val="24"/>
          <w:szCs w:val="24"/>
          <w:highlight w:val="none"/>
        </w:rPr>
        <w:t>中国药典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ascii="Times New Roman" w:hAnsi="Times New Roman" w:cs="Times New Roman"/>
          <w:sz w:val="24"/>
          <w:szCs w:val="24"/>
          <w:highlight w:val="none"/>
        </w:rPr>
        <w:t>（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2</w:t>
      </w:r>
      <w:r>
        <w:rPr>
          <w:rFonts w:ascii="Times New Roman" w:hAnsi="Times New Roman" w:cs="Times New Roman"/>
          <w:sz w:val="24"/>
          <w:szCs w:val="24"/>
          <w:highlight w:val="none"/>
        </w:rPr>
        <w:t>020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版</w:t>
      </w:r>
      <w:r>
        <w:rPr>
          <w:rFonts w:ascii="Times New Roman" w:hAnsi="Times New Roman" w:cs="Times New Roman"/>
          <w:sz w:val="24"/>
          <w:szCs w:val="24"/>
          <w:highlight w:val="none"/>
        </w:rPr>
        <w:t>）一部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。</w:t>
      </w:r>
    </w:p>
    <w:p w14:paraId="586228B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0C57F">
    <w:pPr>
      <w:pStyle w:val="5"/>
    </w:pPr>
    <w:r>
      <w:rPr>
        <w:sz w:val="18"/>
      </w:rPr>
      <w:pict>
        <v:shape id="PowerPlusWaterMarkObject11746" o:spid="_x0000_s2049" o:spt="136" type="#_x0000_t136" style="position:absolute;left:0pt;height:108.95pt;width:478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仿宋_GB2312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6"/>
    <w:rsid w:val="000A011C"/>
    <w:rsid w:val="00330339"/>
    <w:rsid w:val="00367FC7"/>
    <w:rsid w:val="00537561"/>
    <w:rsid w:val="005E44B8"/>
    <w:rsid w:val="009C61BC"/>
    <w:rsid w:val="009D69A0"/>
    <w:rsid w:val="00B84266"/>
    <w:rsid w:val="00BC7A6A"/>
    <w:rsid w:val="00C335EF"/>
    <w:rsid w:val="00C8608A"/>
    <w:rsid w:val="00C9335F"/>
    <w:rsid w:val="00D56EF3"/>
    <w:rsid w:val="00E33F99"/>
    <w:rsid w:val="00E767A7"/>
    <w:rsid w:val="00E76843"/>
    <w:rsid w:val="00FD1261"/>
    <w:rsid w:val="723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4"/>
      <w:szCs w:val="24"/>
    </w:rPr>
  </w:style>
  <w:style w:type="paragraph" w:styleId="4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正文文本 Char"/>
    <w:basedOn w:val="8"/>
    <w:link w:val="3"/>
    <w:uiPriority w:val="1"/>
    <w:rPr>
      <w:sz w:val="24"/>
      <w:szCs w:val="24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1114</Characters>
  <Lines>8</Lines>
  <Paragraphs>2</Paragraphs>
  <TotalTime>3</TotalTime>
  <ScaleCrop>false</ScaleCrop>
  <LinksUpToDate>false</LinksUpToDate>
  <CharactersWithSpaces>1149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2024-10-21T06:17:00Z</dcterms:created>
  <dc:creator>lenovo</dc:creator>
  <cp:lastModifiedBy>何畏</cp:lastModifiedBy>
  <dcterms:modified xsi:type="dcterms:W3CDTF">2025-02-10T08:27:45Z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eyJoZGlkIjoiYmJjNjgxMjY2OGFkYTcwZGQzMDcwMmUwYmM0YmM2ZGYiLCJ1c2VySWQiOiI2MjAxNDA5MzUifQ==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159C47127693428C8E12B4B68E95723B_12</vt:lpwstr>
  </property>
</Properties>
</file>