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0916DF">
      <w:pPr>
        <w:spacing w:line="360" w:lineRule="auto"/>
        <w:rPr>
          <w:rFonts w:asciiTheme="majorEastAsia" w:hAnsiTheme="majorEastAsia" w:eastAsiaTheme="majorEastAsia"/>
          <w:b/>
          <w:color w:val="000000"/>
          <w:sz w:val="32"/>
          <w:szCs w:val="32"/>
        </w:rPr>
      </w:pPr>
      <w:r>
        <w:rPr>
          <w:rFonts w:hint="eastAsia" w:ascii="Microsoft Himalaya" w:hAnsi="Microsoft Himalaya" w:eastAsia="仿宋_GB2312" w:cs="Microsoft Himalaya"/>
          <w:b/>
          <w:sz w:val="28"/>
          <w:szCs w:val="28"/>
        </w:rPr>
        <w:t xml:space="preserve">          </w:t>
      </w:r>
      <w:r>
        <w:rPr>
          <w:rFonts w:hint="eastAsia" w:cs="Microsoft Himalaya" w:asciiTheme="majorEastAsia" w:hAnsiTheme="majorEastAsia" w:eastAsiaTheme="majorEastAsia"/>
          <w:b/>
          <w:sz w:val="32"/>
          <w:szCs w:val="32"/>
        </w:rPr>
        <w:t xml:space="preserve"> </w:t>
      </w:r>
      <w:r>
        <w:rPr>
          <w:rFonts w:hint="eastAsia" w:cs="Microsoft Himalaya" w:asciiTheme="majorEastAsia" w:hAnsiTheme="majorEastAsia" w:eastAsiaTheme="majorEastAsia"/>
          <w:b/>
          <w:sz w:val="32"/>
          <w:szCs w:val="32"/>
          <w:lang w:eastAsia="zh-CN"/>
        </w:rPr>
        <w:t>半夏竹沥曲</w:t>
      </w:r>
      <w:r>
        <w:rPr>
          <w:rFonts w:hint="eastAsia" w:cs="Microsoft Himalaya" w:asciiTheme="majorEastAsia" w:hAnsiTheme="majorEastAsia" w:eastAsiaTheme="majorEastAsia"/>
          <w:b/>
          <w:sz w:val="32"/>
          <w:szCs w:val="32"/>
        </w:rPr>
        <w:t>质量标准草案（征求意见稿）</w:t>
      </w:r>
    </w:p>
    <w:p w14:paraId="6006F27D">
      <w:pPr>
        <w:pStyle w:val="6"/>
        <w:adjustRightInd w:val="0"/>
        <w:snapToGrid w:val="0"/>
        <w:spacing w:line="360" w:lineRule="auto"/>
        <w:ind w:firstLine="0"/>
        <w:jc w:val="center"/>
        <w:rPr>
          <w:rFonts w:hint="eastAsia" w:ascii="Times New Roman" w:hAnsi="Times New Roman" w:eastAsiaTheme="minorEastAsia" w:cstheme="minorBidi"/>
          <w:bCs/>
          <w:kern w:val="2"/>
          <w:sz w:val="24"/>
          <w:szCs w:val="22"/>
          <w:lang w:val="en-US" w:eastAsia="zh-CN" w:bidi="ar-SA"/>
        </w:rPr>
      </w:pPr>
    </w:p>
    <w:p w14:paraId="6B433597">
      <w:pPr>
        <w:spacing w:line="360" w:lineRule="auto"/>
        <w:ind w:firstLine="3534" w:firstLineChars="1100"/>
        <w:jc w:val="both"/>
        <w:rPr>
          <w:rFonts w:hint="eastAsia" w:ascii="Times New Roman" w:hAnsi="Times New Roman"/>
          <w:bCs/>
          <w:sz w:val="24"/>
          <w:lang w:val="en-US" w:eastAsia="zh-CN"/>
        </w:rPr>
      </w:pPr>
      <w:r>
        <w:rPr>
          <w:rFonts w:hint="eastAsia" w:ascii="Times New Roman" w:hAnsi="Times New Roman"/>
          <w:b/>
          <w:bCs w:val="0"/>
          <w:sz w:val="32"/>
          <w:szCs w:val="32"/>
          <w:lang w:val="en-US" w:eastAsia="zh-CN"/>
        </w:rPr>
        <w:t>半夏竹沥曲</w:t>
      </w:r>
    </w:p>
    <w:p w14:paraId="09186850">
      <w:pPr>
        <w:spacing w:line="360" w:lineRule="auto"/>
        <w:ind w:firstLine="422" w:firstLineChars="200"/>
        <w:jc w:val="center"/>
        <w:rPr>
          <w:rFonts w:hint="eastAsia" w:ascii="Times New Roman" w:hAnsi="Times New Roman"/>
          <w:b/>
          <w:bCs w:val="0"/>
          <w:sz w:val="21"/>
          <w:szCs w:val="21"/>
          <w:lang w:val="en-US" w:eastAsia="zh-CN"/>
        </w:rPr>
      </w:pPr>
      <w:r>
        <w:rPr>
          <w:rFonts w:hint="eastAsia" w:ascii="Times New Roman" w:hAnsi="Times New Roman"/>
          <w:b/>
          <w:bCs w:val="0"/>
          <w:sz w:val="21"/>
          <w:szCs w:val="21"/>
          <w:lang w:val="en-US" w:eastAsia="zh-CN"/>
        </w:rPr>
        <w:t>Banxia Zhuli Qu</w:t>
      </w:r>
    </w:p>
    <w:p w14:paraId="14E43FC3">
      <w:pPr>
        <w:spacing w:line="360" w:lineRule="auto"/>
        <w:ind w:firstLine="480" w:firstLineChars="20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bCs/>
          <w:sz w:val="24"/>
        </w:rPr>
        <w:t>【来源】</w:t>
      </w:r>
      <w:r>
        <w:rPr>
          <w:rFonts w:hint="eastAsia" w:ascii="Times New Roman" w:hAnsi="Times New Roman"/>
          <w:bCs/>
          <w:sz w:val="24"/>
        </w:rPr>
        <w:t xml:space="preserve"> 本品为清半夏、芥子（白芥子）、鲜竹沥经发酵制成的炮制品。</w:t>
      </w:r>
    </w:p>
    <w:p w14:paraId="7112B055">
      <w:pPr>
        <w:spacing w:line="360" w:lineRule="auto"/>
        <w:ind w:firstLine="480" w:firstLineChars="200"/>
        <w:rPr>
          <w:rFonts w:ascii="Times New Roman" w:hAnsi="Times New Roman"/>
          <w:bCs/>
          <w:sz w:val="24"/>
        </w:rPr>
      </w:pPr>
      <w:r>
        <w:rPr>
          <w:rFonts w:hint="eastAsia" w:ascii="黑体" w:hAnsi="黑体" w:eastAsia="黑体" w:cs="黑体"/>
          <w:sz w:val="24"/>
        </w:rPr>
        <w:t xml:space="preserve">【制法】 </w:t>
      </w:r>
      <w:r>
        <w:rPr>
          <w:rFonts w:hint="eastAsia" w:ascii="Times New Roman" w:hAnsi="Times New Roman"/>
          <w:bCs/>
          <w:sz w:val="24"/>
        </w:rPr>
        <w:t>取清半夏、芥子（白芥子）粉碎成</w:t>
      </w:r>
      <w:bookmarkStart w:id="1" w:name="_GoBack"/>
      <w:bookmarkEnd w:id="1"/>
      <w:r>
        <w:rPr>
          <w:rFonts w:hint="eastAsia" w:ascii="Times New Roman" w:hAnsi="Times New Roman"/>
          <w:bCs/>
          <w:sz w:val="24"/>
        </w:rPr>
        <w:t>细粉，与面粉混合均匀，加入鲜竹沥搅拌均匀，置适宜条件下发酵，至表面生黄白色“霉衣”，产生浓郁气味时，取出，低温干燥。</w:t>
      </w:r>
    </w:p>
    <w:p w14:paraId="540D7F65">
      <w:pPr>
        <w:spacing w:line="360" w:lineRule="auto"/>
        <w:ind w:firstLine="480" w:firstLineChars="200"/>
        <w:rPr>
          <w:rFonts w:ascii="Times New Roman" w:hAnsi="Times New Roman"/>
          <w:bCs/>
          <w:sz w:val="24"/>
        </w:rPr>
      </w:pPr>
      <w:r>
        <w:rPr>
          <w:rFonts w:hint="eastAsia" w:ascii="Times New Roman" w:hAnsi="Times New Roman"/>
          <w:bCs/>
          <w:sz w:val="24"/>
        </w:rPr>
        <w:t>每80 kg清半夏，用鲜竹沥30 kg、芥子（白芥子）27 kg、面粉27 kg。</w:t>
      </w:r>
    </w:p>
    <w:p w14:paraId="48673EEB">
      <w:pPr>
        <w:spacing w:line="360" w:lineRule="auto"/>
        <w:ind w:firstLine="480" w:firstLineChars="200"/>
        <w:rPr>
          <w:rFonts w:ascii="Times New Roman" w:hAnsi="Times New Roman"/>
          <w:bCs/>
          <w:sz w:val="24"/>
        </w:rPr>
      </w:pPr>
      <w:r>
        <w:rPr>
          <w:rFonts w:hint="eastAsia" w:ascii="黑体" w:hAnsi="黑体" w:eastAsia="黑体" w:cs="黑体"/>
          <w:sz w:val="24"/>
        </w:rPr>
        <w:t xml:space="preserve">【性状】 </w:t>
      </w:r>
      <w:r>
        <w:rPr>
          <w:rFonts w:hint="eastAsia" w:ascii="Times New Roman" w:hAnsi="Times New Roman"/>
          <w:bCs/>
          <w:sz w:val="24"/>
        </w:rPr>
        <w:t>本品为黄白色至黄色的颗粒；气微，味微酸。</w:t>
      </w:r>
    </w:p>
    <w:p w14:paraId="11417868">
      <w:pPr>
        <w:spacing w:line="360" w:lineRule="auto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hint="eastAsia" w:ascii="黑体" w:hAnsi="黑体" w:eastAsia="黑体" w:cs="黑体"/>
          <w:sz w:val="24"/>
        </w:rPr>
        <w:t>【鉴别】</w:t>
      </w:r>
      <w:r>
        <w:rPr>
          <w:rFonts w:ascii="Times New Roman" w:hAnsi="Times New Roman"/>
          <w:sz w:val="24"/>
          <w:szCs w:val="24"/>
        </w:rPr>
        <w:t>（1）</w:t>
      </w:r>
      <w:r>
        <w:rPr>
          <w:rFonts w:hint="eastAsia" w:ascii="Times New Roman" w:hAnsi="Times New Roman"/>
          <w:sz w:val="24"/>
          <w:szCs w:val="24"/>
        </w:rPr>
        <w:t>本品粉末黄白色至黄色。淀粉粒甚多，单粒类圆形、半圆形或圆多角形，直径2～20 µm，脐点裂缝状、人字状或星状；复粒由2～6分粒组成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；</w:t>
      </w:r>
      <w:r>
        <w:rPr>
          <w:rFonts w:hint="eastAsia" w:ascii="Times New Roman" w:hAnsi="Times New Roman"/>
          <w:sz w:val="24"/>
          <w:szCs w:val="24"/>
        </w:rPr>
        <w:t>草酸钙针晶束存在于椭圆形黏液细胞中</w:t>
      </w:r>
      <w:r>
        <w:rPr>
          <w:rFonts w:hint="eastAsia" w:ascii="Times New Roman" w:hAnsi="Times New Roman"/>
          <w:sz w:val="24"/>
          <w:szCs w:val="24"/>
          <w:lang w:eastAsia="zh-CN"/>
        </w:rPr>
        <w:t>或</w:t>
      </w:r>
      <w:r>
        <w:rPr>
          <w:rFonts w:hint="eastAsia" w:ascii="Times New Roman" w:hAnsi="Times New Roman"/>
          <w:sz w:val="24"/>
          <w:szCs w:val="24"/>
        </w:rPr>
        <w:t xml:space="preserve">散在，针晶长20～144 </w:t>
      </w:r>
      <w:r>
        <w:rPr>
          <w:rFonts w:ascii="Times New Roman" w:hAnsi="Times New Roman" w:cs="Times New Roman"/>
          <w:sz w:val="24"/>
          <w:szCs w:val="24"/>
        </w:rPr>
        <w:t>μm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；</w:t>
      </w:r>
      <w:r>
        <w:rPr>
          <w:rFonts w:hint="eastAsia" w:ascii="Times New Roman" w:hAnsi="Times New Roman"/>
          <w:sz w:val="24"/>
          <w:szCs w:val="24"/>
        </w:rPr>
        <w:t>螺纹导管直径10～24 µm</w:t>
      </w:r>
      <w:r>
        <w:rPr>
          <w:rFonts w:hint="eastAsia" w:ascii="Times New Roman" w:hAnsi="Times New Roman"/>
          <w:sz w:val="24"/>
          <w:szCs w:val="24"/>
          <w:lang w:eastAsia="zh-CN"/>
        </w:rPr>
        <w:t>（</w:t>
      </w:r>
      <w:r>
        <w:rPr>
          <w:rFonts w:hint="eastAsia" w:ascii="Times New Roman" w:hAnsi="Times New Roman"/>
          <w:bCs/>
          <w:sz w:val="24"/>
        </w:rPr>
        <w:t>清半夏</w:t>
      </w:r>
      <w:r>
        <w:rPr>
          <w:rFonts w:hint="eastAsia" w:ascii="Times New Roman" w:hAnsi="Times New Roman"/>
          <w:sz w:val="24"/>
          <w:szCs w:val="24"/>
          <w:lang w:eastAsia="zh-CN"/>
        </w:rPr>
        <w:t>）</w:t>
      </w:r>
      <w:r>
        <w:rPr>
          <w:rFonts w:hint="eastAsia" w:ascii="Times New Roman" w:hAnsi="Times New Roman"/>
          <w:sz w:val="24"/>
          <w:szCs w:val="24"/>
        </w:rPr>
        <w:t>。种皮表皮为黏液细胞，有黏液质纹理</w:t>
      </w:r>
      <w:r>
        <w:rPr>
          <w:rFonts w:hint="eastAsia" w:ascii="Times New Roman" w:hAnsi="Times New Roman"/>
          <w:sz w:val="24"/>
          <w:szCs w:val="24"/>
          <w:lang w:eastAsia="zh-CN"/>
        </w:rPr>
        <w:t>；</w:t>
      </w:r>
      <w:r>
        <w:rPr>
          <w:rFonts w:hint="eastAsia" w:ascii="Times New Roman" w:hAnsi="Times New Roman"/>
          <w:sz w:val="24"/>
          <w:szCs w:val="24"/>
        </w:rPr>
        <w:t>栅状细胞呈类多角形，垂周壁平直或波状弯曲，常与下皮重叠，可见下皮细胞的暗影或不明显</w:t>
      </w:r>
      <w:r>
        <w:rPr>
          <w:rFonts w:hint="eastAsia" w:ascii="Times New Roman" w:hAnsi="Times New Roman"/>
          <w:sz w:val="24"/>
          <w:szCs w:val="24"/>
          <w:lang w:eastAsia="zh-CN"/>
        </w:rPr>
        <w:t>（</w:t>
      </w:r>
      <w:r>
        <w:rPr>
          <w:rFonts w:hint="eastAsia" w:ascii="Times New Roman" w:hAnsi="Times New Roman"/>
          <w:bCs/>
          <w:sz w:val="24"/>
          <w:lang w:eastAsia="zh-CN"/>
        </w:rPr>
        <w:t>白</w:t>
      </w:r>
      <w:r>
        <w:rPr>
          <w:rFonts w:hint="eastAsia" w:ascii="Times New Roman" w:hAnsi="Times New Roman"/>
          <w:bCs/>
          <w:sz w:val="24"/>
        </w:rPr>
        <w:t>芥子</w:t>
      </w:r>
      <w:r>
        <w:rPr>
          <w:rFonts w:hint="eastAsia" w:ascii="Times New Roman" w:hAnsi="Times New Roman"/>
          <w:sz w:val="24"/>
          <w:szCs w:val="24"/>
          <w:lang w:eastAsia="zh-CN"/>
        </w:rPr>
        <w:t>）</w:t>
      </w:r>
      <w:r>
        <w:rPr>
          <w:rFonts w:hint="eastAsia" w:ascii="Times New Roman" w:hAnsi="Times New Roman"/>
          <w:sz w:val="24"/>
          <w:szCs w:val="24"/>
        </w:rPr>
        <w:t>。</w:t>
      </w:r>
    </w:p>
    <w:p w14:paraId="12E4D32B">
      <w:pPr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宋体"/>
          <w:sz w:val="24"/>
          <w:szCs w:val="24"/>
        </w:rPr>
        <w:t>（2）</w:t>
      </w:r>
      <w:r>
        <w:rPr>
          <w:rFonts w:ascii="Times New Roman" w:hAnsi="Times New Roman" w:cs="Times New Roman"/>
          <w:sz w:val="24"/>
          <w:szCs w:val="24"/>
        </w:rPr>
        <w:t>取本品粉末1</w:t>
      </w:r>
      <w:r>
        <w:rPr>
          <w:rFonts w:hint="eastAsia"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g，加甲醇10ml，加热回流30分钟，滤过，滤液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浓缩</w:t>
      </w:r>
      <w:r>
        <w:rPr>
          <w:rFonts w:ascii="Times New Roman" w:hAnsi="Times New Roman" w:cs="Times New Roman"/>
          <w:sz w:val="24"/>
          <w:szCs w:val="24"/>
        </w:rPr>
        <w:t>至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约</w:t>
      </w:r>
      <w:r>
        <w:rPr>
          <w:rFonts w:ascii="Times New Roman" w:hAnsi="Times New Roman" w:cs="Times New Roman"/>
          <w:sz w:val="24"/>
          <w:szCs w:val="24"/>
        </w:rPr>
        <w:t>1ml，作为供试品溶液。另取半夏对照药材1g，同法制成对照药材溶液。另取精氨酸对照品，加70%甲醇制成每1ml含1mg的溶液，作为对照品溶液。照薄层色谱法（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</w:rPr>
        <w:t>《中国药典》2020年版四部</w:t>
      </w:r>
      <w:r>
        <w:rPr>
          <w:rFonts w:ascii="Times New Roman" w:hAnsi="Times New Roman" w:cs="Times New Roman"/>
          <w:sz w:val="24"/>
          <w:szCs w:val="24"/>
        </w:rPr>
        <w:t>通则0502）试验，吸取供试品溶液</w:t>
      </w:r>
      <w:r>
        <w:rPr>
          <w:rFonts w:hint="eastAsia" w:ascii="Times New Roman" w:hAnsi="Times New Roman" w:cs="Times New Roman"/>
          <w:sz w:val="24"/>
          <w:szCs w:val="24"/>
        </w:rPr>
        <w:t>和</w:t>
      </w:r>
      <w:r>
        <w:rPr>
          <w:rFonts w:ascii="Times New Roman" w:hAnsi="Times New Roman" w:cs="Times New Roman"/>
          <w:sz w:val="24"/>
          <w:szCs w:val="24"/>
        </w:rPr>
        <w:t>对照药材溶液</w:t>
      </w:r>
      <w:r>
        <w:rPr>
          <w:rFonts w:hint="eastAsia" w:ascii="Times New Roman" w:hAnsi="Times New Roman" w:cs="Times New Roman"/>
          <w:sz w:val="24"/>
          <w:szCs w:val="24"/>
        </w:rPr>
        <w:t>各</w:t>
      </w:r>
      <w:r>
        <w:rPr>
          <w:rFonts w:ascii="Times New Roman" w:hAnsi="Times New Roman" w:cs="Times New Roman"/>
          <w:sz w:val="24"/>
          <w:szCs w:val="24"/>
        </w:rPr>
        <w:t>5µl、对照品溶液1µl，分别点于同一硅胶G薄层板上，以正丁醇-冰醋酸-水（12</w:t>
      </w:r>
      <w:r>
        <w:rPr>
          <w:rFonts w:ascii="Times New Roman" w:hAnsi="Times New Roman" w:cs="Times New Roman"/>
          <w:spacing w:val="-2"/>
          <w:sz w:val="24"/>
          <w:szCs w:val="24"/>
        </w:rPr>
        <w:t>∶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pacing w:val="-2"/>
          <w:sz w:val="24"/>
          <w:szCs w:val="24"/>
        </w:rPr>
        <w:t>∶</w:t>
      </w:r>
      <w:r>
        <w:rPr>
          <w:rFonts w:ascii="Times New Roman" w:hAnsi="Times New Roman" w:cs="Times New Roman"/>
          <w:sz w:val="24"/>
          <w:szCs w:val="24"/>
        </w:rPr>
        <w:t>5）为展开剂，展开，取出，晾干，喷以茚三酮试液，在105℃加热至斑点显色清晰。供试品色谱中，在与对照药材色谱和对照品色谱相应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的</w:t>
      </w:r>
      <w:r>
        <w:rPr>
          <w:rFonts w:ascii="Times New Roman" w:hAnsi="Times New Roman" w:cs="Times New Roman"/>
          <w:sz w:val="24"/>
          <w:szCs w:val="24"/>
        </w:rPr>
        <w:t>位置上，显相同颜色的斑点。</w:t>
      </w:r>
    </w:p>
    <w:p w14:paraId="1CB707C5">
      <w:pPr>
        <w:spacing w:line="360" w:lineRule="auto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hint="eastAsia" w:ascii="黑体" w:hAnsi="黑体" w:eastAsia="黑体" w:cs="黑体"/>
          <w:sz w:val="24"/>
        </w:rPr>
        <w:t xml:space="preserve">【检查】 </w:t>
      </w:r>
      <w:r>
        <w:rPr>
          <w:rFonts w:ascii="Times New Roman" w:hAnsi="Times New Roman" w:eastAsia="黑体" w:cs="Times New Roman"/>
          <w:sz w:val="24"/>
        </w:rPr>
        <w:t>水分</w:t>
      </w:r>
      <w:r>
        <w:rPr>
          <w:rFonts w:hint="eastAsia" w:ascii="Times New Roman" w:hAnsi="Times New Roman" w:eastAsia="黑体" w:cs="Times New Roman"/>
          <w:sz w:val="24"/>
          <w:lang w:val="en-US" w:eastAsia="zh-CN"/>
        </w:rPr>
        <w:t xml:space="preserve"> </w:t>
      </w:r>
      <w:r>
        <w:rPr>
          <w:rFonts w:ascii="Times New Roman" w:hAnsi="Times New Roman" w:cs="Times New Roman"/>
          <w:sz w:val="24"/>
        </w:rPr>
        <w:t>不得过8.0%（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</w:rPr>
        <w:t>《中国药典》2020年版四部</w:t>
      </w:r>
      <w:r>
        <w:rPr>
          <w:rFonts w:ascii="Times New Roman" w:hAnsi="Times New Roman" w:cs="Times New Roman"/>
          <w:sz w:val="24"/>
        </w:rPr>
        <w:t>通则0832第二法）。</w:t>
      </w:r>
    </w:p>
    <w:p w14:paraId="4DD9A139">
      <w:pPr>
        <w:spacing w:line="360" w:lineRule="auto"/>
        <w:ind w:firstLine="480" w:firstLineChars="200"/>
        <w:rPr>
          <w:rFonts w:ascii="Times New Roman" w:hAnsi="Times New Roman" w:eastAsia="黑体" w:cs="Times New Roman"/>
          <w:sz w:val="24"/>
        </w:rPr>
      </w:pPr>
      <w:r>
        <w:rPr>
          <w:rFonts w:ascii="Times New Roman" w:hAnsi="Times New Roman" w:eastAsia="黑体" w:cs="Times New Roman"/>
          <w:sz w:val="24"/>
        </w:rPr>
        <w:t>总灰分</w:t>
      </w:r>
      <w:r>
        <w:rPr>
          <w:rFonts w:hint="eastAsia" w:ascii="Times New Roman" w:hAnsi="Times New Roman" w:eastAsia="黑体" w:cs="Times New Roman"/>
          <w:sz w:val="24"/>
          <w:lang w:val="en-US" w:eastAsia="zh-CN"/>
        </w:rPr>
        <w:t xml:space="preserve"> </w:t>
      </w:r>
      <w:r>
        <w:rPr>
          <w:rFonts w:ascii="Times New Roman" w:hAnsi="Times New Roman" w:cs="Times New Roman"/>
          <w:sz w:val="24"/>
        </w:rPr>
        <w:t>不得过7.0%（</w:t>
      </w:r>
      <w:bookmarkStart w:id="0" w:name="_Hlk497658900"/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</w:rPr>
        <w:t>《中国药典》2020年版四部</w:t>
      </w:r>
      <w:r>
        <w:rPr>
          <w:rFonts w:ascii="Times New Roman" w:hAnsi="Times New Roman" w:cs="Times New Roman"/>
          <w:sz w:val="24"/>
        </w:rPr>
        <w:t>通则2302</w:t>
      </w:r>
      <w:bookmarkEnd w:id="0"/>
      <w:r>
        <w:rPr>
          <w:rFonts w:ascii="Times New Roman" w:hAnsi="Times New Roman" w:cs="Times New Roman"/>
          <w:sz w:val="24"/>
        </w:rPr>
        <w:t>）。</w:t>
      </w:r>
    </w:p>
    <w:p w14:paraId="067501E0">
      <w:pPr>
        <w:spacing w:line="360" w:lineRule="auto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eastAsia="黑体" w:cs="Times New Roman"/>
          <w:sz w:val="24"/>
        </w:rPr>
        <w:t>黄曲霉毒素</w:t>
      </w:r>
      <w:r>
        <w:rPr>
          <w:rFonts w:hint="eastAsia" w:ascii="Times New Roman" w:hAnsi="Times New Roman" w:eastAsia="黑体" w:cs="Times New Roman"/>
          <w:sz w:val="24"/>
          <w:lang w:val="en-US" w:eastAsia="zh-CN"/>
        </w:rPr>
        <w:t xml:space="preserve"> </w:t>
      </w:r>
      <w:r>
        <w:rPr>
          <w:rFonts w:ascii="Times New Roman" w:hAnsi="Times New Roman" w:cs="Times New Roman"/>
          <w:sz w:val="24"/>
        </w:rPr>
        <w:t>照真菌毒素测定法（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</w:rPr>
        <w:t>《中国药典》2020年版四部</w:t>
      </w:r>
      <w:r>
        <w:rPr>
          <w:rFonts w:ascii="Times New Roman" w:hAnsi="Times New Roman" w:cs="Times New Roman"/>
          <w:sz w:val="24"/>
        </w:rPr>
        <w:t>通则2351）测定。</w:t>
      </w:r>
    </w:p>
    <w:p w14:paraId="28759A22">
      <w:pPr>
        <w:spacing w:line="360" w:lineRule="auto"/>
        <w:ind w:firstLine="480" w:firstLineChars="200"/>
        <w:rPr>
          <w:rFonts w:ascii="Times New Roman" w:hAnsi="Times New Roman" w:eastAsia="黑体" w:cs="Times New Roman"/>
          <w:sz w:val="24"/>
        </w:rPr>
      </w:pPr>
      <w:r>
        <w:rPr>
          <w:rFonts w:ascii="Times New Roman" w:hAnsi="Times New Roman" w:cs="Times New Roman"/>
          <w:sz w:val="24"/>
        </w:rPr>
        <w:t>本品每1000g含黄曲霉毒素B</w:t>
      </w:r>
      <w:r>
        <w:rPr>
          <w:rFonts w:ascii="Times New Roman" w:hAnsi="Times New Roman" w:cs="Times New Roman"/>
          <w:sz w:val="24"/>
          <w:vertAlign w:val="subscript"/>
        </w:rPr>
        <w:t>1</w:t>
      </w:r>
      <w:r>
        <w:rPr>
          <w:rFonts w:ascii="Times New Roman" w:hAnsi="Times New Roman" w:cs="Times New Roman"/>
          <w:sz w:val="24"/>
        </w:rPr>
        <w:t>不得过5μg，含黄曲霉毒素G</w:t>
      </w:r>
      <w:r>
        <w:rPr>
          <w:rFonts w:ascii="Times New Roman" w:hAnsi="Times New Roman" w:cs="Times New Roman"/>
          <w:sz w:val="24"/>
          <w:vertAlign w:val="subscript"/>
        </w:rPr>
        <w:t>2</w:t>
      </w:r>
      <w:r>
        <w:rPr>
          <w:rFonts w:ascii="Times New Roman" w:hAnsi="Times New Roman" w:cs="Times New Roman"/>
          <w:sz w:val="24"/>
        </w:rPr>
        <w:t>、黄曲霉毒素G</w:t>
      </w:r>
      <w:r>
        <w:rPr>
          <w:rFonts w:ascii="Times New Roman" w:hAnsi="Times New Roman" w:cs="Times New Roman"/>
          <w:sz w:val="24"/>
          <w:vertAlign w:val="subscript"/>
        </w:rPr>
        <w:t>1</w:t>
      </w:r>
      <w:r>
        <w:rPr>
          <w:rFonts w:ascii="Times New Roman" w:hAnsi="Times New Roman" w:cs="Times New Roman"/>
          <w:sz w:val="24"/>
        </w:rPr>
        <w:t>、黄曲霉毒素B</w:t>
      </w:r>
      <w:r>
        <w:rPr>
          <w:rFonts w:ascii="Times New Roman" w:hAnsi="Times New Roman" w:cs="Times New Roman"/>
          <w:sz w:val="24"/>
          <w:vertAlign w:val="subscript"/>
        </w:rPr>
        <w:t>2</w:t>
      </w:r>
      <w:r>
        <w:rPr>
          <w:rFonts w:ascii="Times New Roman" w:hAnsi="Times New Roman" w:cs="Times New Roman"/>
          <w:sz w:val="24"/>
        </w:rPr>
        <w:t>和黄曲霉毒素B</w:t>
      </w:r>
      <w:r>
        <w:rPr>
          <w:rFonts w:ascii="Times New Roman" w:hAnsi="Times New Roman" w:cs="Times New Roman"/>
          <w:sz w:val="24"/>
          <w:vertAlign w:val="subscript"/>
        </w:rPr>
        <w:t>1</w:t>
      </w:r>
      <w:r>
        <w:rPr>
          <w:rFonts w:ascii="Times New Roman" w:hAnsi="Times New Roman" w:cs="Times New Roman"/>
          <w:sz w:val="24"/>
        </w:rPr>
        <w:t>总量不得过10μg。</w:t>
      </w:r>
    </w:p>
    <w:p w14:paraId="101AAEB2">
      <w:pPr>
        <w:spacing w:line="360" w:lineRule="auto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eastAsia="黑体" w:cs="Times New Roman"/>
          <w:sz w:val="24"/>
        </w:rPr>
        <w:t>【浸出物】</w:t>
      </w:r>
      <w:r>
        <w:rPr>
          <w:rFonts w:hint="eastAsia" w:ascii="Times New Roman" w:hAnsi="Times New Roman" w:eastAsia="黑体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照醇溶性浸出物测定法（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</w:rPr>
        <w:t>《中国药典》2020年版四部</w:t>
      </w:r>
      <w:r>
        <w:rPr>
          <w:rFonts w:ascii="Times New Roman" w:hAnsi="Times New Roman" w:cs="Times New Roman"/>
          <w:sz w:val="24"/>
        </w:rPr>
        <w:t>通则2201）项下的热浸法测定，用70%乙醇作溶剂，不得少于12.0%。</w:t>
      </w:r>
    </w:p>
    <w:p w14:paraId="2272F4F0">
      <w:pPr>
        <w:spacing w:line="360" w:lineRule="auto"/>
        <w:ind w:firstLine="480" w:firstLineChars="200"/>
        <w:rPr>
          <w:rFonts w:ascii="Times New Roman" w:hAnsi="Times New Roman" w:cs="宋体"/>
          <w:sz w:val="24"/>
          <w:szCs w:val="24"/>
        </w:rPr>
      </w:pPr>
      <w:r>
        <w:rPr>
          <w:rFonts w:hint="eastAsia" w:ascii="黑体" w:hAnsi="黑体" w:eastAsia="黑体" w:cs="黑体"/>
          <w:sz w:val="24"/>
        </w:rPr>
        <w:t xml:space="preserve">【功能与主治】 </w:t>
      </w:r>
      <w:r>
        <w:rPr>
          <w:rFonts w:hint="eastAsia" w:ascii="Times New Roman" w:hAnsi="Times New Roman"/>
          <w:sz w:val="24"/>
        </w:rPr>
        <w:t>化痰行气，止咳平喘。主治痰涎阻肺，咳嗽气喘，痰核等症</w:t>
      </w:r>
      <w:r>
        <w:rPr>
          <w:rFonts w:hint="eastAsia" w:ascii="Times New Roman" w:hAnsi="Times New Roman" w:cs="宋体"/>
          <w:sz w:val="24"/>
          <w:szCs w:val="24"/>
        </w:rPr>
        <w:t>。</w:t>
      </w:r>
    </w:p>
    <w:p w14:paraId="3D318959">
      <w:pPr>
        <w:spacing w:line="360" w:lineRule="auto"/>
        <w:ind w:firstLine="480" w:firstLineChars="200"/>
        <w:outlineLvl w:val="1"/>
        <w:rPr>
          <w:rFonts w:ascii="Times New Roman" w:hAnsi="Times New Roman"/>
          <w:sz w:val="24"/>
        </w:rPr>
      </w:pPr>
      <w:r>
        <w:rPr>
          <w:rFonts w:hint="eastAsia" w:ascii="黑体" w:hAnsi="黑体" w:eastAsia="黑体" w:cs="黑体"/>
          <w:sz w:val="24"/>
        </w:rPr>
        <w:t xml:space="preserve">【用法与用量】 </w:t>
      </w:r>
      <w:r>
        <w:rPr>
          <w:rFonts w:hint="eastAsia" w:ascii="Times New Roman" w:hAnsi="Times New Roman"/>
          <w:bCs/>
          <w:sz w:val="24"/>
        </w:rPr>
        <w:t>10～20g，或遵医嘱</w:t>
      </w:r>
      <w:r>
        <w:rPr>
          <w:rFonts w:ascii="Times New Roman" w:hAnsi="Times New Roman"/>
          <w:sz w:val="24"/>
        </w:rPr>
        <w:t>。</w:t>
      </w:r>
    </w:p>
    <w:p w14:paraId="1F3479A2">
      <w:pPr>
        <w:spacing w:line="360" w:lineRule="auto"/>
        <w:ind w:firstLine="480" w:firstLineChars="200"/>
        <w:rPr>
          <w:rFonts w:ascii="Times New Roman" w:hAnsi="Times New Roman"/>
          <w:sz w:val="24"/>
        </w:rPr>
      </w:pPr>
      <w:r>
        <w:rPr>
          <w:rFonts w:hint="eastAsia" w:ascii="黑体" w:hAnsi="黑体" w:eastAsia="黑体" w:cs="黑体"/>
          <w:sz w:val="24"/>
        </w:rPr>
        <w:t>【贮藏】</w:t>
      </w:r>
      <w:r>
        <w:rPr>
          <w:rFonts w:ascii="Times New Roman" w:hAnsi="Times New Roman"/>
          <w:sz w:val="24"/>
        </w:rPr>
        <w:t xml:space="preserve"> 密封，置阴凉干燥处，防蛀。</w:t>
      </w:r>
    </w:p>
    <w:p w14:paraId="5639B4C8">
      <w:pPr>
        <w:spacing w:line="360" w:lineRule="auto"/>
        <w:ind w:firstLine="480" w:firstLineChars="200"/>
        <w:rPr>
          <w:rFonts w:ascii="Times New Roman" w:hAnsi="Times New Roman"/>
          <w:sz w:val="24"/>
        </w:rPr>
      </w:pPr>
      <w:r>
        <w:rPr>
          <w:rFonts w:hint="eastAsia" w:ascii="黑体" w:hAnsi="黑体" w:eastAsia="黑体" w:cs="黑体"/>
          <w:sz w:val="24"/>
        </w:rPr>
        <w:t xml:space="preserve">【注意】 </w:t>
      </w:r>
      <w:r>
        <w:rPr>
          <w:rFonts w:hint="eastAsia" w:ascii="Times New Roman" w:hAnsi="Times New Roman"/>
          <w:sz w:val="24"/>
        </w:rPr>
        <w:t>不宜与川乌、制川乌、草乌、制草乌、附子同用</w:t>
      </w:r>
      <w:r>
        <w:rPr>
          <w:rFonts w:ascii="Times New Roman" w:hAnsi="Times New Roman"/>
          <w:sz w:val="24"/>
        </w:rPr>
        <w:t>。</w:t>
      </w:r>
    </w:p>
    <w:p w14:paraId="5CABE688">
      <w:pPr>
        <w:spacing w:line="360" w:lineRule="auto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hint="eastAsia" w:ascii="黑体" w:hAnsi="黑体" w:eastAsia="黑体" w:cs="黑体"/>
          <w:sz w:val="24"/>
        </w:rPr>
        <w:t>【药材收载标准】</w:t>
      </w:r>
      <w:r>
        <w:rPr>
          <w:rFonts w:hint="eastAsia" w:ascii="Times New Roman" w:hAnsi="Times New Roman" w:cs="宋体"/>
          <w:sz w:val="24"/>
          <w:szCs w:val="24"/>
        </w:rPr>
        <w:t>《中国药典》2020年版一部。</w:t>
      </w:r>
    </w:p>
    <w:p w14:paraId="6B958E19">
      <w:pPr>
        <w:spacing w:line="360" w:lineRule="auto"/>
        <w:ind w:firstLine="480" w:firstLineChars="200"/>
        <w:rPr>
          <w:rFonts w:ascii="Microsoft Himalaya" w:hAnsi="Microsoft Himalaya" w:eastAsia="仿宋_GB2312" w:cs="Microsoft Himalaya"/>
          <w:b/>
          <w:sz w:val="28"/>
          <w:szCs w:val="28"/>
        </w:rPr>
      </w:pPr>
      <w:r>
        <w:rPr>
          <w:rFonts w:hint="eastAsia" w:ascii="Times New Roman" w:hAnsi="Times New Roman" w:cs="Times New Roman"/>
          <w:sz w:val="24"/>
        </w:rPr>
        <w:t>注：鲜竹沥  标准来源为</w:t>
      </w:r>
      <w:r>
        <w:rPr>
          <w:rFonts w:hint="eastAsia" w:ascii="Times New Roman" w:hAnsi="Times New Roman"/>
          <w:sz w:val="24"/>
        </w:rPr>
        <w:t>江西省药品监督管理局中药饮片标准</w:t>
      </w:r>
      <w:r>
        <w:rPr>
          <w:rFonts w:hint="eastAsia" w:ascii="Times New Roman" w:hAnsi="Times New Roman" w:cs="Times New Roman"/>
          <w:sz w:val="24"/>
        </w:rPr>
        <w:t>鲜竹沥（</w:t>
      </w:r>
      <w:r>
        <w:rPr>
          <w:rFonts w:hint="eastAsia" w:ascii="Times New Roman" w:hAnsi="Times New Roman"/>
          <w:sz w:val="24"/>
        </w:rPr>
        <w:t>标准号:</w:t>
      </w:r>
      <w:r>
        <w:rPr>
          <w:rFonts w:hint="eastAsia" w:ascii="Times New Roman" w:hAnsi="Times New Roman" w:cs="宋体"/>
          <w:sz w:val="24"/>
          <w:szCs w:val="24"/>
        </w:rPr>
        <w:t>JXYPBZXD2022-001</w:t>
      </w:r>
      <w:r>
        <w:rPr>
          <w:rFonts w:hint="eastAsia" w:ascii="Times New Roman" w:hAnsi="Times New Roman" w:cs="Times New Roman"/>
          <w:sz w:val="24"/>
        </w:rPr>
        <w:t>）。</w:t>
      </w:r>
    </w:p>
    <w:p w14:paraId="7C5F5660"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3AE74D">
    <w:pPr>
      <w:pStyle w:val="3"/>
    </w:pPr>
    <w:r>
      <w:rPr>
        <w:sz w:val="18"/>
      </w:rPr>
      <w:pict>
        <v:shape id="PowerPlusWaterMarkObject11746" o:spid="_x0000_s2049" o:spt="136" type="#_x0000_t136" style="position:absolute;left:0pt;height:108.95pt;width:478.3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征求意见稿" style="font-family:仿宋_GB2312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84266"/>
    <w:rsid w:val="00111B6E"/>
    <w:rsid w:val="003F110B"/>
    <w:rsid w:val="004702E9"/>
    <w:rsid w:val="00537561"/>
    <w:rsid w:val="005E44B8"/>
    <w:rsid w:val="007617FD"/>
    <w:rsid w:val="00896472"/>
    <w:rsid w:val="009E36AC"/>
    <w:rsid w:val="00B84266"/>
    <w:rsid w:val="00C61281"/>
    <w:rsid w:val="00C8608A"/>
    <w:rsid w:val="00D72297"/>
    <w:rsid w:val="00EC41A3"/>
    <w:rsid w:val="35B2271F"/>
    <w:rsid w:val="4C9170DB"/>
    <w:rsid w:val="52727EBB"/>
    <w:rsid w:val="70CE7706"/>
    <w:rsid w:val="7457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Body text|1"/>
    <w:basedOn w:val="1"/>
    <w:qFormat/>
    <w:uiPriority w:val="0"/>
    <w:pPr>
      <w:spacing w:line="480" w:lineRule="auto"/>
      <w:ind w:firstLine="400"/>
    </w:pPr>
    <w:rPr>
      <w:rFonts w:ascii="宋体" w:hAnsi="宋体" w:cs="宋体"/>
      <w:sz w:val="26"/>
      <w:szCs w:val="26"/>
      <w:lang w:val="zh-TW" w:eastAsia="zh-TW" w:bidi="zh-TW"/>
    </w:rPr>
  </w:style>
  <w:style w:type="character" w:customStyle="1" w:styleId="7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1574</Words>
  <Characters>1800</Characters>
  <Lines>13</Lines>
  <Paragraphs>3</Paragraphs>
  <TotalTime>0</TotalTime>
  <ScaleCrop>false</ScaleCrop>
  <LinksUpToDate>false</LinksUpToDate>
  <CharactersWithSpaces>1844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2024-10-21T06:13:00Z</dcterms:created>
  <dc:creator>lenovo</dc:creator>
  <cp:lastModifiedBy>何畏</cp:lastModifiedBy>
  <dcterms:modified xsi:type="dcterms:W3CDTF">2025-02-10T08:35:20Z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eyJoZGlkIjoiYmJjNjgxMjY2OGFkYTcwZGQzMDcwMmUwYmM0YmM2ZGYiLCJ1c2VySWQiOiI2MjAxNDA5MzUifQ==</vt:lpwstr>
  </property>
  <property fmtid="{D5CDD505-2E9C-101B-9397-08002B2CF9AE}" pid="3" name="KSOProductBuildVer">
    <vt:lpwstr>2052-12.1.0.19302</vt:lpwstr>
  </property>
  <property fmtid="{D5CDD505-2E9C-101B-9397-08002B2CF9AE}" pid="4" name="ICV">
    <vt:lpwstr>E2D990C6823D438FA8580DA7DC043C0F_12</vt:lpwstr>
  </property>
</Properties>
</file>