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EC" w:rsidRPr="002949EB" w:rsidRDefault="001B6DAE">
      <w:pPr>
        <w:spacing w:line="360" w:lineRule="auto"/>
        <w:jc w:val="center"/>
        <w:rPr>
          <w:rFonts w:ascii="仿宋" w:eastAsia="仿宋" w:hAnsi="仿宋" w:cs="宋体"/>
          <w:b/>
          <w:sz w:val="28"/>
          <w:szCs w:val="28"/>
        </w:rPr>
      </w:pPr>
      <w:r w:rsidRPr="002949EB">
        <w:rPr>
          <w:rFonts w:ascii="仿宋" w:eastAsia="仿宋" w:hAnsi="仿宋" w:hint="eastAsia"/>
          <w:b/>
          <w:sz w:val="28"/>
          <w:szCs w:val="28"/>
        </w:rPr>
        <w:t>安乃近片</w:t>
      </w:r>
      <w:r w:rsidRPr="002949EB">
        <w:rPr>
          <w:rFonts w:ascii="仿宋" w:eastAsia="仿宋" w:hAnsi="仿宋" w:cs="宋体" w:hint="eastAsia"/>
          <w:b/>
          <w:sz w:val="28"/>
          <w:szCs w:val="28"/>
        </w:rPr>
        <w:t>说明书修订详情</w:t>
      </w:r>
    </w:p>
    <w:tbl>
      <w:tblPr>
        <w:tblW w:w="144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5812"/>
        <w:gridCol w:w="6682"/>
      </w:tblGrid>
      <w:tr w:rsidR="000A37EC" w:rsidRPr="002949EB" w:rsidTr="00AC2C66">
        <w:trPr>
          <w:trHeight w:val="357"/>
          <w:jc w:val="center"/>
        </w:trPr>
        <w:tc>
          <w:tcPr>
            <w:tcW w:w="1980" w:type="dxa"/>
            <w:vAlign w:val="center"/>
          </w:tcPr>
          <w:p w:rsidR="000A37EC" w:rsidRPr="002949EB" w:rsidRDefault="001B6DAE" w:rsidP="0078412A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2949EB">
              <w:rPr>
                <w:rFonts w:ascii="仿宋" w:eastAsia="仿宋" w:hAnsi="仿宋" w:hint="eastAsia"/>
                <w:b/>
                <w:sz w:val="24"/>
              </w:rPr>
              <w:t>修订项目</w:t>
            </w:r>
          </w:p>
        </w:tc>
        <w:tc>
          <w:tcPr>
            <w:tcW w:w="5812" w:type="dxa"/>
            <w:vAlign w:val="center"/>
          </w:tcPr>
          <w:p w:rsidR="000A37EC" w:rsidRPr="002949EB" w:rsidRDefault="001B6DAE" w:rsidP="00201326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2949EB">
              <w:rPr>
                <w:rFonts w:ascii="仿宋" w:eastAsia="仿宋" w:hAnsi="仿宋" w:hint="eastAsia"/>
                <w:b/>
                <w:sz w:val="24"/>
              </w:rPr>
              <w:t>修订前说明书内容</w:t>
            </w:r>
          </w:p>
        </w:tc>
        <w:tc>
          <w:tcPr>
            <w:tcW w:w="6682" w:type="dxa"/>
            <w:vAlign w:val="center"/>
          </w:tcPr>
          <w:p w:rsidR="000A37EC" w:rsidRPr="002949EB" w:rsidRDefault="001B6DAE" w:rsidP="00201326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2949EB">
              <w:rPr>
                <w:rFonts w:ascii="仿宋" w:eastAsia="仿宋" w:hAnsi="仿宋" w:hint="eastAsia"/>
                <w:b/>
                <w:sz w:val="24"/>
              </w:rPr>
              <w:t>修订后说明书内容</w:t>
            </w:r>
          </w:p>
        </w:tc>
      </w:tr>
      <w:tr w:rsidR="000A37EC" w:rsidRPr="0078412A" w:rsidTr="00AC2C66">
        <w:trPr>
          <w:trHeight w:val="2120"/>
          <w:jc w:val="center"/>
        </w:trPr>
        <w:tc>
          <w:tcPr>
            <w:tcW w:w="1980" w:type="dxa"/>
            <w:vAlign w:val="center"/>
          </w:tcPr>
          <w:p w:rsidR="000A37EC" w:rsidRPr="002949EB" w:rsidRDefault="002949EB" w:rsidP="0078412A">
            <w:pPr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【</w:t>
            </w:r>
            <w:r w:rsidRPr="002949EB">
              <w:rPr>
                <w:rFonts w:ascii="仿宋" w:eastAsia="仿宋" w:hAnsi="仿宋" w:hint="eastAsia"/>
                <w:sz w:val="22"/>
                <w:szCs w:val="22"/>
              </w:rPr>
              <w:t>警示语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】</w:t>
            </w:r>
          </w:p>
        </w:tc>
        <w:tc>
          <w:tcPr>
            <w:tcW w:w="5812" w:type="dxa"/>
            <w:vAlign w:val="center"/>
          </w:tcPr>
          <w:p w:rsidR="000A37EC" w:rsidRPr="002949EB" w:rsidRDefault="002949EB" w:rsidP="00201326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/</w:t>
            </w:r>
          </w:p>
        </w:tc>
        <w:tc>
          <w:tcPr>
            <w:tcW w:w="6682" w:type="dxa"/>
            <w:vAlign w:val="center"/>
          </w:tcPr>
          <w:p w:rsidR="000A37EC" w:rsidRPr="002949EB" w:rsidRDefault="001B6DAE" w:rsidP="00201326">
            <w:pPr>
              <w:spacing w:line="240" w:lineRule="atLeast"/>
              <w:ind w:firstLineChars="200" w:firstLine="440"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警示语：</w:t>
            </w:r>
          </w:p>
          <w:p w:rsidR="000A37EC" w:rsidRPr="002949EB" w:rsidRDefault="001B6DAE" w:rsidP="00201326">
            <w:pPr>
              <w:spacing w:line="240" w:lineRule="atLeast"/>
              <w:ind w:firstLineChars="200" w:firstLine="440"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本品可能引起血液系统严重不良反应，如粒细胞缺乏症、血小板减少性紫癜、再生障碍性贫血等。本品还可能引起严重过敏反应，如重症药疹、过敏性休克等。请在医师的指导下使用本品，了解用药风险。</w:t>
            </w:r>
          </w:p>
          <w:p w:rsidR="000A37EC" w:rsidRPr="002949EB" w:rsidRDefault="001B6DAE" w:rsidP="00201326">
            <w:pPr>
              <w:spacing w:line="240" w:lineRule="atLeast"/>
              <w:ind w:firstLineChars="200" w:firstLine="440"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本品一般不作为首选用药，仅在病情急重，且无其他有效药品治疗的情况下使用。</w:t>
            </w:r>
          </w:p>
          <w:p w:rsidR="000A37EC" w:rsidRPr="002949EB" w:rsidRDefault="001B6DAE" w:rsidP="00201326">
            <w:pPr>
              <w:jc w:val="lef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本品禁用于18岁以下青少年儿童。</w:t>
            </w:r>
          </w:p>
        </w:tc>
      </w:tr>
      <w:tr w:rsidR="000A37EC" w:rsidRPr="002949EB" w:rsidTr="00AC2C66">
        <w:trPr>
          <w:trHeight w:val="685"/>
          <w:jc w:val="center"/>
        </w:trPr>
        <w:tc>
          <w:tcPr>
            <w:tcW w:w="1980" w:type="dxa"/>
            <w:vAlign w:val="center"/>
          </w:tcPr>
          <w:p w:rsidR="000A37EC" w:rsidRPr="002949EB" w:rsidRDefault="001B6DAE" w:rsidP="0078412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949EB">
              <w:rPr>
                <w:rFonts w:ascii="仿宋" w:eastAsia="仿宋" w:hAnsi="仿宋" w:hint="eastAsia"/>
                <w:sz w:val="22"/>
                <w:szCs w:val="22"/>
              </w:rPr>
              <w:t>【适应症】</w:t>
            </w:r>
          </w:p>
        </w:tc>
        <w:tc>
          <w:tcPr>
            <w:tcW w:w="5812" w:type="dxa"/>
            <w:vAlign w:val="center"/>
          </w:tcPr>
          <w:p w:rsidR="000A37EC" w:rsidRPr="002949EB" w:rsidRDefault="001B6DAE" w:rsidP="00201326">
            <w:pPr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color w:val="333333"/>
                <w:sz w:val="22"/>
                <w:szCs w:val="22"/>
                <w:shd w:val="clear" w:color="auto" w:fill="FFFFFF"/>
              </w:rPr>
              <w:t>用于高热时的解热，也可用于头痛、偏头痛、肌肉痛、关节痛、痛经等。本品亦有较强的抗风湿作用，可用于急性风湿性关节炎，但因本品有可能引起严重的不良反应，很少在风湿性疾病中应用。</w:t>
            </w:r>
          </w:p>
        </w:tc>
        <w:tc>
          <w:tcPr>
            <w:tcW w:w="6682" w:type="dxa"/>
            <w:vAlign w:val="center"/>
          </w:tcPr>
          <w:p w:rsidR="000A37EC" w:rsidRPr="002949EB" w:rsidRDefault="001B6DAE" w:rsidP="00201326">
            <w:pPr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用于急性高热时的退热，也可用于急性疼痛的短期治疗，如头痛、偏头痛、肌肉痛、关节痛、痛经等。</w:t>
            </w:r>
          </w:p>
        </w:tc>
      </w:tr>
      <w:tr w:rsidR="000A37EC" w:rsidRPr="002949EB" w:rsidTr="00AC2C66">
        <w:trPr>
          <w:trHeight w:val="273"/>
          <w:jc w:val="center"/>
        </w:trPr>
        <w:tc>
          <w:tcPr>
            <w:tcW w:w="1980" w:type="dxa"/>
            <w:vAlign w:val="center"/>
          </w:tcPr>
          <w:p w:rsidR="000A37EC" w:rsidRPr="002949EB" w:rsidRDefault="001B6DAE" w:rsidP="0078412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949EB">
              <w:rPr>
                <w:rFonts w:ascii="仿宋" w:eastAsia="仿宋" w:hAnsi="仿宋" w:hint="eastAsia"/>
                <w:sz w:val="22"/>
                <w:szCs w:val="22"/>
              </w:rPr>
              <w:t>【用法用量】</w:t>
            </w:r>
          </w:p>
        </w:tc>
        <w:tc>
          <w:tcPr>
            <w:tcW w:w="5812" w:type="dxa"/>
            <w:vAlign w:val="center"/>
          </w:tcPr>
          <w:p w:rsidR="000A37EC" w:rsidRPr="002949EB" w:rsidRDefault="001B6DAE" w:rsidP="00201326">
            <w:pPr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color w:val="333333"/>
                <w:sz w:val="22"/>
                <w:szCs w:val="22"/>
                <w:shd w:val="clear" w:color="auto" w:fill="FFFFFF"/>
              </w:rPr>
              <w:t>口服。成人常用量：一次0.5～1g,需要时服1次，最多一日3次。小儿：按体重一次10～20mg/kg，一日2～3次。</w:t>
            </w:r>
          </w:p>
        </w:tc>
        <w:tc>
          <w:tcPr>
            <w:tcW w:w="6682" w:type="dxa"/>
            <w:vAlign w:val="center"/>
          </w:tcPr>
          <w:p w:rsidR="000A37EC" w:rsidRPr="002949EB" w:rsidRDefault="001B6DAE" w:rsidP="00201326">
            <w:pPr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口服，</w:t>
            </w:r>
            <w:r w:rsidRPr="002949EB">
              <w:rPr>
                <w:rFonts w:ascii="仿宋" w:eastAsia="仿宋" w:hAnsi="仿宋" w:cs="宋体" w:hint="eastAsia"/>
                <w:kern w:val="0"/>
                <w:sz w:val="22"/>
                <w:szCs w:val="22"/>
                <w:lang w:bidi="ar"/>
              </w:rPr>
              <w:t>成人常用量：</w:t>
            </w: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一次0.5g～1.0g</w:t>
            </w:r>
            <w:r w:rsidRPr="002949EB">
              <w:rPr>
                <w:rFonts w:ascii="仿宋" w:eastAsia="仿宋" w:hAnsi="仿宋" w:cs="宋体" w:hint="eastAsia"/>
                <w:kern w:val="0"/>
                <w:sz w:val="22"/>
                <w:szCs w:val="22"/>
                <w:lang w:bidi="ar"/>
              </w:rPr>
              <w:t>，需要时服1次，最多一日3次。</w:t>
            </w: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应从最低有效剂量开始使用。</w:t>
            </w:r>
          </w:p>
        </w:tc>
      </w:tr>
      <w:tr w:rsidR="000A37EC" w:rsidRPr="002949EB" w:rsidTr="00AC2C66">
        <w:trPr>
          <w:trHeight w:val="419"/>
          <w:jc w:val="center"/>
        </w:trPr>
        <w:tc>
          <w:tcPr>
            <w:tcW w:w="1980" w:type="dxa"/>
            <w:vAlign w:val="center"/>
          </w:tcPr>
          <w:p w:rsidR="000A37EC" w:rsidRPr="002949EB" w:rsidRDefault="001B6DAE" w:rsidP="0078412A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2949EB">
              <w:rPr>
                <w:rFonts w:ascii="仿宋" w:eastAsia="仿宋" w:hAnsi="仿宋" w:hint="eastAsia"/>
                <w:sz w:val="22"/>
                <w:szCs w:val="22"/>
              </w:rPr>
              <w:t>【不良反应】</w:t>
            </w:r>
          </w:p>
        </w:tc>
        <w:tc>
          <w:tcPr>
            <w:tcW w:w="5812" w:type="dxa"/>
            <w:vAlign w:val="center"/>
          </w:tcPr>
          <w:p w:rsidR="000A37EC" w:rsidRPr="002949EB" w:rsidRDefault="001B6DAE" w:rsidP="00201326">
            <w:pPr>
              <w:pStyle w:val="a5"/>
              <w:widowControl/>
              <w:shd w:val="clear" w:color="auto" w:fill="FFFFFF"/>
              <w:spacing w:beforeAutospacing="0" w:after="210" w:afterAutospacing="0" w:line="0" w:lineRule="atLeast"/>
              <w:rPr>
                <w:rFonts w:ascii="仿宋" w:eastAsia="仿宋" w:hAnsi="仿宋" w:cs="宋体"/>
                <w:color w:val="333333"/>
                <w:sz w:val="22"/>
                <w:szCs w:val="22"/>
                <w:shd w:val="clear" w:color="auto" w:fill="FFFFFF"/>
              </w:rPr>
            </w:pPr>
            <w:r w:rsidRPr="002949EB">
              <w:rPr>
                <w:rFonts w:ascii="仿宋" w:eastAsia="仿宋" w:hAnsi="仿宋" w:cs="宋体" w:hint="eastAsia"/>
                <w:color w:val="333333"/>
                <w:sz w:val="22"/>
                <w:szCs w:val="22"/>
                <w:shd w:val="clear" w:color="auto" w:fill="FFFFFF"/>
              </w:rPr>
              <w:t>本品对胃肠道的刺激虽较小，但可引起以下各种不良反应：①血液方面，可引起粒细胞缺乏症，发生率约1.1%，急性起病，重者有致命危险，亦可引起自身免疫性溶血性贫血、血小板减少性紫癜、再生障碍性贫血等；②皮肤方面，可引起荨麻疹、渗出性红斑等过敏性表现，严重者可发生剥脱性皮炎、表皮松解症等；③个别病例可发生过敏性休克，甚至导致死亡。</w:t>
            </w:r>
          </w:p>
        </w:tc>
        <w:tc>
          <w:tcPr>
            <w:tcW w:w="6682" w:type="dxa"/>
            <w:vAlign w:val="center"/>
          </w:tcPr>
          <w:p w:rsidR="000A37EC" w:rsidRPr="002949EB" w:rsidRDefault="001B6DAE" w:rsidP="00201326">
            <w:pPr>
              <w:spacing w:line="300" w:lineRule="exact"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1.皮肤损害：本品皮疹报道较多，如红斑疹、斑丘疹、荨麻疹、渗出性红斑、多型性红斑、水疱疹、剥脱性皮炎、皮肤溃疡坏死、急性泛发型发疹性脓疱疹、男性生殖器皮疹和瘙痒等，有重症多型性红斑、大疱性表皮松解型药疹、中毒性表皮坏死松解症的报道。</w:t>
            </w:r>
          </w:p>
          <w:p w:rsidR="000A37EC" w:rsidRPr="002949EB" w:rsidRDefault="001B6DAE" w:rsidP="00201326">
            <w:pPr>
              <w:spacing w:line="300" w:lineRule="exact"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2.胃肠损害：本品可引起恶心、呕吐、胃部不适、胃痛、胃部烧灼感、胃肠胀气、腹部不适、腹痛、胃肠道出血、消化性溃疡出血等，有出血性坏死性肠炎的报道。</w:t>
            </w:r>
          </w:p>
        </w:tc>
      </w:tr>
      <w:tr w:rsidR="000A37EC" w:rsidRPr="002949EB" w:rsidTr="00AC2C66">
        <w:trPr>
          <w:trHeight w:val="3112"/>
          <w:jc w:val="center"/>
        </w:trPr>
        <w:tc>
          <w:tcPr>
            <w:tcW w:w="1980" w:type="dxa"/>
            <w:vAlign w:val="center"/>
          </w:tcPr>
          <w:p w:rsidR="000A37EC" w:rsidRPr="002949EB" w:rsidRDefault="000A37EC" w:rsidP="0078412A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0A37EC" w:rsidRPr="002949EB" w:rsidRDefault="000A37EC" w:rsidP="00201326">
            <w:pPr>
              <w:jc w:val="left"/>
              <w:rPr>
                <w:rFonts w:ascii="仿宋" w:eastAsia="仿宋" w:hAnsi="仿宋" w:cs="宋体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82" w:type="dxa"/>
            <w:vAlign w:val="center"/>
          </w:tcPr>
          <w:p w:rsidR="000A37EC" w:rsidRPr="002949EB" w:rsidRDefault="001B6DAE" w:rsidP="00201326">
            <w:pPr>
              <w:spacing w:line="280" w:lineRule="exact"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3.全身性损害：本品可引起眼睑、</w:t>
            </w:r>
            <w:proofErr w:type="gramStart"/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眶</w:t>
            </w:r>
            <w:proofErr w:type="gramEnd"/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周、口唇、面部、生殖器等部位水肿，还可引起胸闷、憋气、呼吸困难、心悸、哮喘发作、急性</w:t>
            </w:r>
            <w:proofErr w:type="gramStart"/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喉</w:t>
            </w:r>
            <w:proofErr w:type="gramEnd"/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水肿、血压下降，严重者出现过敏性休克，甚至导致死亡。</w:t>
            </w:r>
          </w:p>
          <w:p w:rsidR="000A37EC" w:rsidRPr="002949EB" w:rsidRDefault="001B6DAE" w:rsidP="00201326">
            <w:pPr>
              <w:spacing w:line="280" w:lineRule="exact"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4.血液系统损害：本品可引起白细胞减少、粒细胞减少、血小板减少、粒细胞缺乏症、再生障碍性贫血、急性溶血性贫血、自身免疫性溶血性贫血、血小板减少性紫癜、鼻衄、过敏性紫癜等，有引起暴发性紫癜并导致死亡的报道。</w:t>
            </w:r>
          </w:p>
          <w:p w:rsidR="000A37EC" w:rsidRPr="002949EB" w:rsidRDefault="001B6DAE" w:rsidP="00412064">
            <w:pPr>
              <w:spacing w:line="280" w:lineRule="exact"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5.泌尿系统损害：本品可引起血尿、肾功能异常，有急性肾功能衰竭的报道。</w:t>
            </w:r>
          </w:p>
          <w:p w:rsidR="000A37EC" w:rsidRPr="002949EB" w:rsidRDefault="001B6DAE" w:rsidP="00412064">
            <w:pPr>
              <w:spacing w:line="280" w:lineRule="exact"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6.其他:可出现头晕、头痛、局部麻木等神经系统症状，有肝细胞损害、</w:t>
            </w:r>
            <w:proofErr w:type="gramStart"/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肝酶升高</w:t>
            </w:r>
            <w:proofErr w:type="gramEnd"/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的报道，退热时可出现大汗和虚脱。</w:t>
            </w:r>
          </w:p>
        </w:tc>
      </w:tr>
      <w:tr w:rsidR="000A37EC" w:rsidRPr="002949EB" w:rsidTr="00AC2C66">
        <w:trPr>
          <w:trHeight w:val="273"/>
          <w:jc w:val="center"/>
        </w:trPr>
        <w:tc>
          <w:tcPr>
            <w:tcW w:w="1980" w:type="dxa"/>
            <w:vAlign w:val="center"/>
          </w:tcPr>
          <w:p w:rsidR="000A37EC" w:rsidRPr="002949EB" w:rsidRDefault="001B6DAE" w:rsidP="0078412A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【禁忌】</w:t>
            </w:r>
          </w:p>
        </w:tc>
        <w:tc>
          <w:tcPr>
            <w:tcW w:w="5812" w:type="dxa"/>
            <w:vAlign w:val="center"/>
          </w:tcPr>
          <w:p w:rsidR="000A37EC" w:rsidRPr="002949EB" w:rsidRDefault="001B6DAE" w:rsidP="00201326">
            <w:pPr>
              <w:jc w:val="left"/>
              <w:rPr>
                <w:rFonts w:ascii="仿宋" w:eastAsia="仿宋" w:hAnsi="仿宋" w:cs="宋体"/>
                <w:color w:val="333333"/>
                <w:sz w:val="22"/>
                <w:szCs w:val="22"/>
                <w:shd w:val="clear" w:color="auto" w:fill="FFFFFF"/>
              </w:rPr>
            </w:pPr>
            <w:r w:rsidRPr="002949EB">
              <w:rPr>
                <w:rFonts w:ascii="仿宋" w:eastAsia="仿宋" w:hAnsi="仿宋" w:cs="宋体" w:hint="eastAsia"/>
                <w:color w:val="333333"/>
                <w:sz w:val="22"/>
                <w:szCs w:val="22"/>
                <w:shd w:val="clear" w:color="auto" w:fill="FFFFFF"/>
              </w:rPr>
              <w:t>对本品或氨基比林有过敏史者禁用。</w:t>
            </w:r>
          </w:p>
        </w:tc>
        <w:tc>
          <w:tcPr>
            <w:tcW w:w="6682" w:type="dxa"/>
            <w:vAlign w:val="center"/>
          </w:tcPr>
          <w:p w:rsidR="000A37EC" w:rsidRPr="002949EB" w:rsidRDefault="001B6DAE" w:rsidP="00201326">
            <w:pPr>
              <w:tabs>
                <w:tab w:val="left" w:pos="4823"/>
              </w:tabs>
              <w:spacing w:line="280" w:lineRule="exact"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1.对本品或氨基比林有过敏史者禁用</w:t>
            </w:r>
          </w:p>
          <w:p w:rsidR="000A37EC" w:rsidRPr="002949EB" w:rsidRDefault="001B6DAE" w:rsidP="00201326">
            <w:pPr>
              <w:tabs>
                <w:tab w:val="left" w:pos="4823"/>
              </w:tabs>
              <w:spacing w:line="280" w:lineRule="exact"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2.妊娠晚期妇女禁用。</w:t>
            </w:r>
          </w:p>
          <w:p w:rsidR="000A37EC" w:rsidRPr="002949EB" w:rsidRDefault="001B6DAE" w:rsidP="00201326">
            <w:pPr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3.18岁以下青少年儿童禁用。</w:t>
            </w:r>
          </w:p>
        </w:tc>
      </w:tr>
      <w:tr w:rsidR="000A37EC" w:rsidRPr="002949EB" w:rsidTr="00AC2C66">
        <w:trPr>
          <w:trHeight w:val="273"/>
          <w:jc w:val="center"/>
        </w:trPr>
        <w:tc>
          <w:tcPr>
            <w:tcW w:w="1980" w:type="dxa"/>
            <w:vAlign w:val="center"/>
          </w:tcPr>
          <w:p w:rsidR="000A37EC" w:rsidRPr="002949EB" w:rsidRDefault="001B6DAE" w:rsidP="0078412A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2949EB">
              <w:rPr>
                <w:rFonts w:ascii="仿宋" w:eastAsia="仿宋" w:hAnsi="仿宋" w:hint="eastAsia"/>
                <w:sz w:val="22"/>
                <w:szCs w:val="22"/>
              </w:rPr>
              <w:t>【注意事项】</w:t>
            </w:r>
          </w:p>
        </w:tc>
        <w:tc>
          <w:tcPr>
            <w:tcW w:w="5812" w:type="dxa"/>
            <w:vAlign w:val="center"/>
          </w:tcPr>
          <w:p w:rsidR="000A37EC" w:rsidRPr="002949EB" w:rsidRDefault="001B6DAE" w:rsidP="00201326">
            <w:pPr>
              <w:jc w:val="left"/>
              <w:rPr>
                <w:rFonts w:ascii="仿宋" w:eastAsia="仿宋" w:hAnsi="仿宋" w:cs="宋体"/>
                <w:color w:val="333333"/>
                <w:sz w:val="22"/>
                <w:szCs w:val="22"/>
                <w:shd w:val="clear" w:color="auto" w:fill="FFFFFF"/>
              </w:rPr>
            </w:pPr>
            <w:r w:rsidRPr="002949EB">
              <w:rPr>
                <w:rFonts w:ascii="仿宋" w:eastAsia="仿宋" w:hAnsi="仿宋" w:cs="宋体" w:hint="eastAsia"/>
                <w:color w:val="333333"/>
                <w:sz w:val="22"/>
                <w:szCs w:val="22"/>
                <w:shd w:val="clear" w:color="auto" w:fill="FFFFFF"/>
              </w:rPr>
              <w:t>1.本品与阿司匹林有交叉过敏反应。</w:t>
            </w:r>
            <w:r w:rsidRPr="002949EB">
              <w:rPr>
                <w:rFonts w:ascii="仿宋" w:eastAsia="仿宋" w:hAnsi="仿宋" w:cs="宋体" w:hint="eastAsia"/>
                <w:color w:val="333333"/>
                <w:sz w:val="22"/>
                <w:szCs w:val="22"/>
                <w:shd w:val="clear" w:color="auto" w:fill="FFFFFF"/>
              </w:rPr>
              <w:br/>
            </w:r>
            <w:r w:rsidRPr="002949EB">
              <w:rPr>
                <w:rFonts w:ascii="仿宋" w:eastAsia="仿宋" w:hAnsi="仿宋" w:cs="宋体" w:hint="eastAsia"/>
                <w:color w:val="333333"/>
                <w:sz w:val="22"/>
                <w:szCs w:val="22"/>
                <w:shd w:val="clear" w:color="auto" w:fill="FFFFFF"/>
              </w:rPr>
              <w:br/>
              <w:t>2.本品一般不作首选用药，仅在急性高热、病情急重，又无其他有效解热药可用的情况下用于紧急退热。</w:t>
            </w:r>
            <w:r w:rsidRPr="002949EB">
              <w:rPr>
                <w:rFonts w:ascii="仿宋" w:eastAsia="仿宋" w:hAnsi="仿宋" w:cs="宋体" w:hint="eastAsia"/>
                <w:color w:val="333333"/>
                <w:sz w:val="22"/>
                <w:szCs w:val="22"/>
                <w:shd w:val="clear" w:color="auto" w:fill="FFFFFF"/>
              </w:rPr>
              <w:br/>
            </w:r>
            <w:r w:rsidRPr="002949EB">
              <w:rPr>
                <w:rFonts w:ascii="仿宋" w:eastAsia="仿宋" w:hAnsi="仿宋" w:cs="宋体" w:hint="eastAsia"/>
                <w:color w:val="333333"/>
                <w:sz w:val="22"/>
                <w:szCs w:val="22"/>
                <w:shd w:val="clear" w:color="auto" w:fill="FFFFFF"/>
              </w:rPr>
              <w:br/>
              <w:t>3.本品用药超过1周时应定期检查血象，一旦发生粒细胞减少，应立即停药。</w:t>
            </w:r>
          </w:p>
        </w:tc>
        <w:tc>
          <w:tcPr>
            <w:tcW w:w="6682" w:type="dxa"/>
            <w:vAlign w:val="center"/>
          </w:tcPr>
          <w:p w:rsidR="000A37EC" w:rsidRPr="002949EB" w:rsidRDefault="001B6DAE" w:rsidP="00201326">
            <w:pPr>
              <w:tabs>
                <w:tab w:val="left" w:pos="4823"/>
              </w:tabs>
              <w:spacing w:line="280" w:lineRule="exact"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1.本品与阿司匹林有交叉过敏反应。</w:t>
            </w:r>
          </w:p>
          <w:p w:rsidR="000A37EC" w:rsidRPr="002949EB" w:rsidRDefault="001B6DAE" w:rsidP="00201326">
            <w:pPr>
              <w:spacing w:line="280" w:lineRule="exact"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2.本品用药超过1周时应定期检查血象，一旦发生粒细胞减少，应立即停药。</w:t>
            </w:r>
          </w:p>
          <w:p w:rsidR="000A37EC" w:rsidRPr="002949EB" w:rsidRDefault="001B6DAE" w:rsidP="00201326">
            <w:pPr>
              <w:spacing w:line="280" w:lineRule="exact"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3.本品一般不作为首选用药，仅在病情急重，且无其他有效药品治疗的情况下短期使用。</w:t>
            </w:r>
          </w:p>
          <w:p w:rsidR="000A37EC" w:rsidRPr="002949EB" w:rsidRDefault="001B6DAE" w:rsidP="00201326">
            <w:pPr>
              <w:spacing w:line="280" w:lineRule="exact"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4.本品引起的皮肤损害多见，严重者需要住院治疗。使用本品如果出现皮疹、瘙痒等反应，应立即停药，严重者应立即就诊。</w:t>
            </w:r>
          </w:p>
          <w:p w:rsidR="000A37EC" w:rsidRPr="002949EB" w:rsidRDefault="001B6DAE" w:rsidP="00201326">
            <w:pPr>
              <w:spacing w:line="280" w:lineRule="exact"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5.本品有引起过敏性休克风险。患者可出现胸闷、面部潮红、皮疹、呼吸困难、口唇发绀、大汗淋漓、血压降低、意识模糊、意识丧失等症状，甚至导致死亡。</w:t>
            </w:r>
          </w:p>
          <w:p w:rsidR="000A37EC" w:rsidRPr="002949EB" w:rsidRDefault="001B6DAE" w:rsidP="00201326">
            <w:pPr>
              <w:tabs>
                <w:tab w:val="left" w:pos="4823"/>
              </w:tabs>
              <w:spacing w:line="280" w:lineRule="exact"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6.本品可引起粒细胞缺乏症。该症起病急，可导致严重感染甚至死亡。患者表现为突发高热、极度乏力、周身不适，2～3天内可能发生严重感染，如肺部、泌尿系统、口咽部和皮肤感染等。出现上述症状须立即就诊并检查血象。</w:t>
            </w:r>
          </w:p>
        </w:tc>
      </w:tr>
      <w:tr w:rsidR="000A37EC" w:rsidRPr="002949EB" w:rsidTr="00AC2C66">
        <w:trPr>
          <w:trHeight w:val="419"/>
          <w:jc w:val="center"/>
        </w:trPr>
        <w:tc>
          <w:tcPr>
            <w:tcW w:w="1980" w:type="dxa"/>
            <w:vAlign w:val="center"/>
          </w:tcPr>
          <w:p w:rsidR="000A37EC" w:rsidRPr="002949EB" w:rsidRDefault="001B6DAE" w:rsidP="0078412A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【孕妇及哺乳期妇女用药】</w:t>
            </w:r>
          </w:p>
        </w:tc>
        <w:tc>
          <w:tcPr>
            <w:tcW w:w="5812" w:type="dxa"/>
            <w:vAlign w:val="center"/>
          </w:tcPr>
          <w:p w:rsidR="000A37EC" w:rsidRPr="002949EB" w:rsidRDefault="001B6DAE" w:rsidP="00201326">
            <w:pPr>
              <w:jc w:val="left"/>
              <w:rPr>
                <w:rFonts w:ascii="仿宋" w:eastAsia="仿宋" w:hAnsi="仿宋" w:cs="宋体"/>
                <w:color w:val="333333"/>
                <w:sz w:val="22"/>
                <w:szCs w:val="22"/>
                <w:shd w:val="clear" w:color="auto" w:fill="FFFFFF"/>
              </w:rPr>
            </w:pPr>
            <w:r w:rsidRPr="002949EB">
              <w:rPr>
                <w:rFonts w:ascii="仿宋" w:eastAsia="仿宋" w:hAnsi="仿宋" w:cs="宋体" w:hint="eastAsia"/>
                <w:color w:val="333333"/>
                <w:sz w:val="22"/>
                <w:szCs w:val="22"/>
                <w:shd w:val="clear" w:color="auto" w:fill="FFFFFF"/>
              </w:rPr>
              <w:t>安乃近的代谢产物可进入乳汁。孕妇及哺乳期妇女不宜应用。</w:t>
            </w:r>
          </w:p>
        </w:tc>
        <w:tc>
          <w:tcPr>
            <w:tcW w:w="6682" w:type="dxa"/>
            <w:vAlign w:val="center"/>
          </w:tcPr>
          <w:p w:rsidR="000A37EC" w:rsidRPr="002949EB" w:rsidRDefault="001B6DAE" w:rsidP="00201326">
            <w:pPr>
              <w:spacing w:line="280" w:lineRule="exact"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1.妊娠早期和中期妇女不建议使用，妊娠晚期妇女禁用。</w:t>
            </w:r>
          </w:p>
          <w:p w:rsidR="000A37EC" w:rsidRPr="002949EB" w:rsidRDefault="001B6DAE" w:rsidP="00201326">
            <w:pPr>
              <w:spacing w:line="280" w:lineRule="exact"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2.安乃近的代谢产物可进入乳汁，哺乳期妇女不宜应用。</w:t>
            </w:r>
          </w:p>
        </w:tc>
      </w:tr>
      <w:tr w:rsidR="000A37EC" w:rsidRPr="002949EB" w:rsidTr="00AC2C66">
        <w:trPr>
          <w:trHeight w:val="626"/>
          <w:jc w:val="center"/>
        </w:trPr>
        <w:tc>
          <w:tcPr>
            <w:tcW w:w="1980" w:type="dxa"/>
            <w:vAlign w:val="center"/>
          </w:tcPr>
          <w:p w:rsidR="000A37EC" w:rsidRPr="002949EB" w:rsidRDefault="001B6DAE" w:rsidP="0078412A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【儿童用药】</w:t>
            </w:r>
          </w:p>
        </w:tc>
        <w:tc>
          <w:tcPr>
            <w:tcW w:w="5812" w:type="dxa"/>
            <w:vAlign w:val="center"/>
          </w:tcPr>
          <w:p w:rsidR="000A37EC" w:rsidRPr="002949EB" w:rsidRDefault="001B6DAE" w:rsidP="00201326">
            <w:pPr>
              <w:jc w:val="left"/>
              <w:rPr>
                <w:rFonts w:ascii="仿宋" w:eastAsia="仿宋" w:hAnsi="仿宋" w:cs="宋体"/>
                <w:color w:val="333333"/>
                <w:sz w:val="22"/>
                <w:szCs w:val="22"/>
                <w:shd w:val="clear" w:color="auto" w:fill="FFFFFF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未进行该项</w:t>
            </w:r>
            <w:r w:rsidRPr="002949EB">
              <w:rPr>
                <w:rFonts w:ascii="仿宋" w:eastAsia="仿宋" w:hAnsi="仿宋" w:cs="宋体" w:hint="eastAsia"/>
                <w:bCs/>
                <w:sz w:val="22"/>
                <w:szCs w:val="22"/>
              </w:rPr>
              <w:t>实</w:t>
            </w: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验且无可参考文献。</w:t>
            </w:r>
          </w:p>
        </w:tc>
        <w:tc>
          <w:tcPr>
            <w:tcW w:w="6682" w:type="dxa"/>
            <w:vAlign w:val="center"/>
          </w:tcPr>
          <w:p w:rsidR="000A37EC" w:rsidRPr="002949EB" w:rsidRDefault="001B6DAE" w:rsidP="00201326">
            <w:pPr>
              <w:spacing w:line="280" w:lineRule="exact"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2949EB">
              <w:rPr>
                <w:rFonts w:ascii="仿宋" w:eastAsia="仿宋" w:hAnsi="仿宋" w:cs="宋体" w:hint="eastAsia"/>
                <w:sz w:val="22"/>
                <w:szCs w:val="22"/>
              </w:rPr>
              <w:t>本品禁用于18岁以下青少年儿童。</w:t>
            </w:r>
          </w:p>
        </w:tc>
      </w:tr>
    </w:tbl>
    <w:p w:rsidR="000A37EC" w:rsidRPr="008D273E" w:rsidRDefault="000A37EC" w:rsidP="00AC2C66">
      <w:pPr>
        <w:spacing w:line="440" w:lineRule="exact"/>
        <w:ind w:right="119"/>
        <w:rPr>
          <w:rFonts w:ascii="仿宋" w:eastAsia="仿宋" w:hAnsi="仿宋" w:cs="宋体"/>
          <w:sz w:val="32"/>
          <w:szCs w:val="32"/>
        </w:rPr>
      </w:pPr>
      <w:bookmarkStart w:id="0" w:name="_GoBack"/>
      <w:bookmarkEnd w:id="0"/>
    </w:p>
    <w:sectPr w:rsidR="000A37EC" w:rsidRPr="008D273E" w:rsidSect="00AC2C66">
      <w:footerReference w:type="default" r:id="rId7"/>
      <w:pgSz w:w="16838" w:h="11906" w:orient="landscape"/>
      <w:pgMar w:top="568" w:right="678" w:bottom="56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F12" w:rsidRDefault="00CA6F12">
      <w:r>
        <w:separator/>
      </w:r>
    </w:p>
  </w:endnote>
  <w:endnote w:type="continuationSeparator" w:id="0">
    <w:p w:rsidR="00CA6F12" w:rsidRDefault="00CA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EC" w:rsidRDefault="000A34F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4638040</wp:posOffset>
              </wp:positionH>
              <wp:positionV relativeFrom="paragraph">
                <wp:posOffset>-295910</wp:posOffset>
              </wp:positionV>
              <wp:extent cx="356235" cy="230505"/>
              <wp:effectExtent l="0" t="0" r="635" b="635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7EC" w:rsidRDefault="001B6DA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365.2pt;margin-top:-23.3pt;width:28.05pt;height:18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" filled="f" stroked="f">
              <v:textbox style="mso-fit-shape-to-text:t" inset="0,0,0,0">
                <w:txbxContent>
                  <w:p w:rsidR="000A37EC" w:rsidRDefault="001B6DAE">
                    <w:pPr>
                      <w:pStyle w:val="a3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F12" w:rsidRDefault="00CA6F12">
      <w:r>
        <w:separator/>
      </w:r>
    </w:p>
  </w:footnote>
  <w:footnote w:type="continuationSeparator" w:id="0">
    <w:p w:rsidR="00CA6F12" w:rsidRDefault="00CA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FD"/>
    <w:rsid w:val="000A34FF"/>
    <w:rsid w:val="000A37EC"/>
    <w:rsid w:val="001B6DAE"/>
    <w:rsid w:val="00201326"/>
    <w:rsid w:val="00265780"/>
    <w:rsid w:val="002949EB"/>
    <w:rsid w:val="00370CBA"/>
    <w:rsid w:val="00412064"/>
    <w:rsid w:val="00465CFD"/>
    <w:rsid w:val="0078412A"/>
    <w:rsid w:val="0080429B"/>
    <w:rsid w:val="008D273E"/>
    <w:rsid w:val="00AC2C66"/>
    <w:rsid w:val="00CA6F12"/>
    <w:rsid w:val="00D7643C"/>
    <w:rsid w:val="00E06C8E"/>
    <w:rsid w:val="00E7257D"/>
    <w:rsid w:val="00F35BC2"/>
    <w:rsid w:val="00FF367F"/>
    <w:rsid w:val="07080EFC"/>
    <w:rsid w:val="0F697C79"/>
    <w:rsid w:val="13BB777D"/>
    <w:rsid w:val="14DA23C7"/>
    <w:rsid w:val="203410B4"/>
    <w:rsid w:val="20AA0709"/>
    <w:rsid w:val="239E3CBE"/>
    <w:rsid w:val="2C675F5F"/>
    <w:rsid w:val="32CA1080"/>
    <w:rsid w:val="34A94C10"/>
    <w:rsid w:val="44B6482A"/>
    <w:rsid w:val="4BDD5DEE"/>
    <w:rsid w:val="512C398B"/>
    <w:rsid w:val="5BD7437D"/>
    <w:rsid w:val="5E891282"/>
    <w:rsid w:val="647A78D8"/>
    <w:rsid w:val="6CF11696"/>
    <w:rsid w:val="6F9A74E5"/>
    <w:rsid w:val="743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D48726-5B2C-4F41-8E0D-DDFD7636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042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42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2020-05-25T06:33:00Z</cp:lastPrinted>
  <dcterms:created xsi:type="dcterms:W3CDTF">2020-05-25T08:34:00Z</dcterms:created>
  <dcterms:modified xsi:type="dcterms:W3CDTF">2020-06-09T07:42:00Z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