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7A0E" w14:textId="16A3C8A9" w:rsidR="002D3914" w:rsidRPr="00C659A7" w:rsidRDefault="00C03AB9" w:rsidP="00C659A7">
      <w:pPr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  <w:r w:rsidRPr="00C659A7">
        <w:rPr>
          <w:rFonts w:ascii="仿宋" w:eastAsia="仿宋" w:hAnsi="仿宋" w:hint="eastAsia"/>
          <w:b/>
          <w:sz w:val="28"/>
          <w:szCs w:val="28"/>
        </w:rPr>
        <w:t>牛黄解毒片</w:t>
      </w:r>
      <w:r w:rsidR="00C659A7" w:rsidRPr="00C659A7">
        <w:rPr>
          <w:rFonts w:ascii="仿宋" w:eastAsia="仿宋" w:hAnsi="仿宋" w:hint="eastAsia"/>
          <w:b/>
          <w:sz w:val="28"/>
          <w:szCs w:val="28"/>
        </w:rPr>
        <w:t>说明书</w:t>
      </w:r>
      <w:r w:rsidR="00C659A7" w:rsidRPr="00C659A7">
        <w:rPr>
          <w:rFonts w:ascii="仿宋" w:eastAsia="仿宋" w:hAnsi="仿宋"/>
          <w:b/>
          <w:sz w:val="28"/>
          <w:szCs w:val="28"/>
        </w:rPr>
        <w:t>修订详情</w:t>
      </w:r>
    </w:p>
    <w:tbl>
      <w:tblPr>
        <w:tblW w:w="5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099"/>
        <w:gridCol w:w="9626"/>
      </w:tblGrid>
      <w:tr w:rsidR="00C659A7" w:rsidRPr="00C659A7" w14:paraId="70D28808" w14:textId="77777777" w:rsidTr="00C659A7">
        <w:trPr>
          <w:trHeight w:val="357"/>
          <w:jc w:val="center"/>
        </w:trPr>
        <w:tc>
          <w:tcPr>
            <w:tcW w:w="553" w:type="pct"/>
            <w:vAlign w:val="center"/>
          </w:tcPr>
          <w:p w14:paraId="1285862A" w14:textId="25548A42" w:rsidR="00C659A7" w:rsidRPr="00C659A7" w:rsidRDefault="00C659A7" w:rsidP="00C659A7">
            <w:pPr>
              <w:snapToGrid w:val="0"/>
              <w:spacing w:line="240" w:lineRule="atLeast"/>
              <w:ind w:right="119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659A7">
              <w:rPr>
                <w:rFonts w:ascii="仿宋" w:eastAsia="仿宋" w:hAnsi="仿宋" w:hint="eastAsia"/>
                <w:b/>
                <w:sz w:val="24"/>
              </w:rPr>
              <w:t>修订项目</w:t>
            </w:r>
          </w:p>
        </w:tc>
        <w:tc>
          <w:tcPr>
            <w:tcW w:w="1328" w:type="pct"/>
            <w:vAlign w:val="center"/>
          </w:tcPr>
          <w:p w14:paraId="2778B2BB" w14:textId="7E412ED1" w:rsidR="00C659A7" w:rsidRPr="00C659A7" w:rsidRDefault="00C659A7" w:rsidP="00C659A7">
            <w:pPr>
              <w:snapToGrid w:val="0"/>
              <w:spacing w:line="240" w:lineRule="atLeast"/>
              <w:ind w:right="119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659A7">
              <w:rPr>
                <w:rFonts w:ascii="仿宋" w:eastAsia="仿宋" w:hAnsi="仿宋" w:hint="eastAsia"/>
                <w:b/>
                <w:sz w:val="24"/>
              </w:rPr>
              <w:t>修订前说明书内容</w:t>
            </w:r>
          </w:p>
        </w:tc>
        <w:tc>
          <w:tcPr>
            <w:tcW w:w="3119" w:type="pct"/>
            <w:vAlign w:val="center"/>
          </w:tcPr>
          <w:p w14:paraId="5C6D86A0" w14:textId="1D0273C6" w:rsidR="00C659A7" w:rsidRPr="00C659A7" w:rsidRDefault="00C659A7" w:rsidP="00C659A7">
            <w:pPr>
              <w:snapToGrid w:val="0"/>
              <w:spacing w:line="240" w:lineRule="atLeast"/>
              <w:ind w:right="119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659A7">
              <w:rPr>
                <w:rFonts w:ascii="仿宋" w:eastAsia="仿宋" w:hAnsi="仿宋" w:hint="eastAsia"/>
                <w:b/>
                <w:sz w:val="24"/>
              </w:rPr>
              <w:t>修订后说明书内容</w:t>
            </w:r>
          </w:p>
        </w:tc>
      </w:tr>
      <w:tr w:rsidR="00C03AB9" w:rsidRPr="00C659A7" w14:paraId="1B7B8214" w14:textId="77777777" w:rsidTr="00C659A7">
        <w:trPr>
          <w:trHeight w:val="561"/>
          <w:jc w:val="center"/>
        </w:trPr>
        <w:tc>
          <w:tcPr>
            <w:tcW w:w="553" w:type="pct"/>
            <w:vAlign w:val="center"/>
          </w:tcPr>
          <w:p w14:paraId="63EF633F" w14:textId="7F76FE7E" w:rsidR="00C03AB9" w:rsidRPr="00C659A7" w:rsidRDefault="00C659A7" w:rsidP="00C659A7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【</w:t>
            </w: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警示语</w:t>
            </w: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】</w:t>
            </w:r>
          </w:p>
        </w:tc>
        <w:tc>
          <w:tcPr>
            <w:tcW w:w="1328" w:type="pct"/>
            <w:vAlign w:val="center"/>
          </w:tcPr>
          <w:p w14:paraId="0B6ED4AD" w14:textId="77777777" w:rsidR="00C659A7" w:rsidRDefault="00C03AB9" w:rsidP="00C659A7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请仔细阅读说明书并在医师指导下服用</w:t>
            </w:r>
          </w:p>
          <w:p w14:paraId="71BF537B" w14:textId="35E195DD" w:rsidR="00C03AB9" w:rsidRPr="00C659A7" w:rsidRDefault="00C03AB9" w:rsidP="00C659A7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孕妇禁用</w:t>
            </w:r>
          </w:p>
        </w:tc>
        <w:tc>
          <w:tcPr>
            <w:tcW w:w="3119" w:type="pct"/>
            <w:vAlign w:val="center"/>
          </w:tcPr>
          <w:p w14:paraId="406C5FAD" w14:textId="77777777" w:rsidR="00C03AB9" w:rsidRPr="00C659A7" w:rsidRDefault="00C03AB9" w:rsidP="00C659A7">
            <w:pPr>
              <w:snapToGrid w:val="0"/>
              <w:ind w:right="119"/>
              <w:jc w:val="left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请仔细阅</w:t>
            </w:r>
            <w:bookmarkStart w:id="0" w:name="_GoBack"/>
            <w:bookmarkEnd w:id="0"/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读说明书并在医师指导下服用</w:t>
            </w:r>
          </w:p>
          <w:p w14:paraId="53F28F97" w14:textId="343ACADC" w:rsidR="00C03AB9" w:rsidRPr="00C659A7" w:rsidRDefault="00C03AB9" w:rsidP="00C659A7">
            <w:pPr>
              <w:snapToGrid w:val="0"/>
              <w:ind w:right="119"/>
              <w:jc w:val="left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孕妇禁用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本品含雄黄，不可超剂量或长期服用</w:t>
            </w:r>
          </w:p>
        </w:tc>
      </w:tr>
      <w:tr w:rsidR="00C03AB9" w:rsidRPr="00C659A7" w14:paraId="5432AD76" w14:textId="77777777" w:rsidTr="00C659A7">
        <w:trPr>
          <w:trHeight w:val="701"/>
          <w:jc w:val="center"/>
        </w:trPr>
        <w:tc>
          <w:tcPr>
            <w:tcW w:w="553" w:type="pct"/>
            <w:vAlign w:val="center"/>
          </w:tcPr>
          <w:p w14:paraId="03632F42" w14:textId="19B66500" w:rsidR="00C03AB9" w:rsidRPr="00C659A7" w:rsidRDefault="00C03AB9" w:rsidP="00C03AB9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【不良反应】</w:t>
            </w:r>
          </w:p>
        </w:tc>
        <w:tc>
          <w:tcPr>
            <w:tcW w:w="1328" w:type="pct"/>
            <w:vAlign w:val="center"/>
          </w:tcPr>
          <w:p w14:paraId="0F18BB3D" w14:textId="054D79AF" w:rsidR="00C03AB9" w:rsidRPr="00C659A7" w:rsidRDefault="00C03AB9" w:rsidP="00C03AB9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尚不明确</w:t>
            </w:r>
          </w:p>
        </w:tc>
        <w:tc>
          <w:tcPr>
            <w:tcW w:w="3119" w:type="pct"/>
            <w:vAlign w:val="center"/>
          </w:tcPr>
          <w:p w14:paraId="1BA8905D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上市后不良反应监测数据及文献报道显示本品可见以下不良反应：</w:t>
            </w:r>
          </w:p>
          <w:p w14:paraId="2CB700C0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消化系统：腹泻、腹痛、恶心、呕吐、口干、胃不适等；有肝生化指标异常、消化道出血的个案报告。</w:t>
            </w:r>
          </w:p>
          <w:p w14:paraId="03A48BBD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皮肤及其附件：皮疹、瘙痒、面部水肿等，有重症药疹的个案报告（如</w:t>
            </w:r>
            <w:r w:rsidRPr="00C659A7">
              <w:rPr>
                <w:rFonts w:ascii="仿宋" w:eastAsia="仿宋" w:hAnsi="仿宋"/>
                <w:sz w:val="22"/>
                <w:szCs w:val="22"/>
              </w:rPr>
              <w:t>Stevens-Johnson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综合征、大疱性表皮坏死松解型药疹）。过量或长期使用可能出现皮肤粗糙、增厚、色素沉着等砷中毒表现。</w:t>
            </w:r>
          </w:p>
          <w:p w14:paraId="5A9177CC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精神神经系统：头晕、头痛、嗜睡、失眠等。</w:t>
            </w:r>
          </w:p>
          <w:p w14:paraId="19ADB869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免疫系统：过敏样反应、过敏性休克等。</w:t>
            </w:r>
          </w:p>
          <w:p w14:paraId="38884BD1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心血管系统：心悸等。</w:t>
            </w:r>
          </w:p>
          <w:p w14:paraId="5FD16931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呼吸系统：呼吸困难、胸闷等。</w:t>
            </w:r>
          </w:p>
          <w:p w14:paraId="7FBD5596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泌尿系统：有血尿、急性肾损伤等个案报告。</w:t>
            </w:r>
          </w:p>
          <w:p w14:paraId="42D3D8D8" w14:textId="2723A6DA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sz w:val="22"/>
                <w:szCs w:val="22"/>
              </w:rPr>
              <w:t>此外，有长期使用导致砷中毒的个案报告。</w:t>
            </w:r>
          </w:p>
        </w:tc>
      </w:tr>
      <w:tr w:rsidR="002D3914" w:rsidRPr="00C659A7" w14:paraId="58055921" w14:textId="77777777" w:rsidTr="00C659A7">
        <w:trPr>
          <w:trHeight w:val="701"/>
          <w:jc w:val="center"/>
        </w:trPr>
        <w:tc>
          <w:tcPr>
            <w:tcW w:w="553" w:type="pct"/>
            <w:vAlign w:val="center"/>
          </w:tcPr>
          <w:p w14:paraId="57B987ED" w14:textId="30B737E1" w:rsidR="002D3914" w:rsidRPr="00C659A7" w:rsidRDefault="00C03AB9" w:rsidP="00C03AB9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【禁忌】</w:t>
            </w:r>
          </w:p>
        </w:tc>
        <w:tc>
          <w:tcPr>
            <w:tcW w:w="1328" w:type="pct"/>
            <w:vAlign w:val="center"/>
          </w:tcPr>
          <w:p w14:paraId="03A07408" w14:textId="151A2B5E" w:rsidR="002D3914" w:rsidRPr="00C659A7" w:rsidRDefault="00C03AB9" w:rsidP="00C03AB9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尚不明确</w:t>
            </w:r>
          </w:p>
        </w:tc>
        <w:tc>
          <w:tcPr>
            <w:tcW w:w="3119" w:type="pct"/>
            <w:vAlign w:val="center"/>
          </w:tcPr>
          <w:p w14:paraId="5D97B036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1.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孕妇、哺乳期妇女禁用。</w:t>
            </w:r>
          </w:p>
          <w:p w14:paraId="1F4FE5E1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2.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婴幼儿禁用。</w:t>
            </w:r>
          </w:p>
          <w:p w14:paraId="3D8FFDB8" w14:textId="1C2FB429" w:rsidR="002D3914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3.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对本品及所含成份过敏者禁用。</w:t>
            </w:r>
          </w:p>
        </w:tc>
      </w:tr>
      <w:tr w:rsidR="002D3914" w:rsidRPr="00C659A7" w14:paraId="486F5E8B" w14:textId="77777777" w:rsidTr="00C659A7">
        <w:trPr>
          <w:trHeight w:val="701"/>
          <w:jc w:val="center"/>
        </w:trPr>
        <w:tc>
          <w:tcPr>
            <w:tcW w:w="553" w:type="pct"/>
            <w:vAlign w:val="center"/>
          </w:tcPr>
          <w:p w14:paraId="6039264C" w14:textId="77777777" w:rsidR="002D3914" w:rsidRPr="00C659A7" w:rsidRDefault="002D3914" w:rsidP="00C03AB9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【注意事项】</w:t>
            </w:r>
          </w:p>
        </w:tc>
        <w:tc>
          <w:tcPr>
            <w:tcW w:w="1328" w:type="pct"/>
            <w:vAlign w:val="center"/>
          </w:tcPr>
          <w:p w14:paraId="0B7F0D40" w14:textId="69C38878" w:rsidR="002D3914" w:rsidRPr="00C659A7" w:rsidRDefault="00C03AB9" w:rsidP="00C03AB9">
            <w:pPr>
              <w:snapToGrid w:val="0"/>
              <w:ind w:right="119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C659A7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孕妇禁用</w:t>
            </w:r>
          </w:p>
        </w:tc>
        <w:tc>
          <w:tcPr>
            <w:tcW w:w="3119" w:type="pct"/>
            <w:vAlign w:val="center"/>
          </w:tcPr>
          <w:p w14:paraId="2182DC01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1.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平素脾胃虚弱、大便溏薄者慎用。</w:t>
            </w:r>
          </w:p>
          <w:p w14:paraId="343EC64A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2.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本品含雄黄，不可超剂量或长期服用。有连续用药半年以上出现砷中毒的报告。</w:t>
            </w:r>
          </w:p>
          <w:p w14:paraId="6749DA00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3.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本品不宜与含雄黄的其他药品同时服用。</w:t>
            </w:r>
          </w:p>
          <w:p w14:paraId="173D1907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4.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严重肝损害患者慎用；急、慢性肾脏病患者慎用。</w:t>
            </w:r>
          </w:p>
          <w:p w14:paraId="1DF5F205" w14:textId="77777777" w:rsidR="00C03AB9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5.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儿童用药尚无安全性研究资料。婴幼儿禁用。</w:t>
            </w:r>
          </w:p>
          <w:p w14:paraId="242C0959" w14:textId="6D1F559E" w:rsidR="002D3914" w:rsidRPr="00C659A7" w:rsidRDefault="00C03AB9" w:rsidP="00C659A7">
            <w:pPr>
              <w:overflowPunct w:val="0"/>
              <w:rPr>
                <w:rFonts w:ascii="仿宋" w:eastAsia="仿宋" w:hAnsi="仿宋"/>
                <w:sz w:val="22"/>
                <w:szCs w:val="22"/>
              </w:rPr>
            </w:pPr>
            <w:r w:rsidRPr="00C659A7">
              <w:rPr>
                <w:rFonts w:ascii="仿宋" w:eastAsia="仿宋" w:hAnsi="仿宋"/>
                <w:sz w:val="22"/>
                <w:szCs w:val="22"/>
              </w:rPr>
              <w:t>6.</w:t>
            </w:r>
            <w:r w:rsidRPr="00C659A7">
              <w:rPr>
                <w:rFonts w:ascii="仿宋" w:eastAsia="仿宋" w:hAnsi="仿宋" w:hint="eastAsia"/>
                <w:sz w:val="22"/>
                <w:szCs w:val="22"/>
              </w:rPr>
              <w:t>用药后如出现不良反应，应及时停药，去医院就诊。</w:t>
            </w:r>
          </w:p>
        </w:tc>
      </w:tr>
    </w:tbl>
    <w:p w14:paraId="1BF3ECE1" w14:textId="77777777" w:rsidR="00396233" w:rsidRPr="00C659A7" w:rsidRDefault="00396233" w:rsidP="00C03AB9">
      <w:pPr>
        <w:rPr>
          <w:rFonts w:ascii="宋体" w:hAnsi="宋体"/>
          <w:sz w:val="22"/>
          <w:szCs w:val="22"/>
        </w:rPr>
      </w:pPr>
    </w:p>
    <w:sectPr w:rsidR="00396233" w:rsidRPr="00C659A7" w:rsidSect="00C65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1C869" w14:textId="77777777" w:rsidR="00403697" w:rsidRDefault="00403697" w:rsidP="002D3914">
      <w:r>
        <w:separator/>
      </w:r>
    </w:p>
  </w:endnote>
  <w:endnote w:type="continuationSeparator" w:id="0">
    <w:p w14:paraId="27ECA547" w14:textId="77777777" w:rsidR="00403697" w:rsidRDefault="00403697" w:rsidP="002D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84DD" w14:textId="77777777" w:rsidR="00403697" w:rsidRDefault="00403697" w:rsidP="002D3914">
      <w:r>
        <w:separator/>
      </w:r>
    </w:p>
  </w:footnote>
  <w:footnote w:type="continuationSeparator" w:id="0">
    <w:p w14:paraId="659334DC" w14:textId="77777777" w:rsidR="00403697" w:rsidRDefault="00403697" w:rsidP="002D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2B"/>
    <w:rsid w:val="0018533C"/>
    <w:rsid w:val="002163B3"/>
    <w:rsid w:val="00231946"/>
    <w:rsid w:val="00261D60"/>
    <w:rsid w:val="002D3914"/>
    <w:rsid w:val="00320B7A"/>
    <w:rsid w:val="00396233"/>
    <w:rsid w:val="003B7D42"/>
    <w:rsid w:val="00403697"/>
    <w:rsid w:val="00536299"/>
    <w:rsid w:val="00573672"/>
    <w:rsid w:val="006023AA"/>
    <w:rsid w:val="00767E05"/>
    <w:rsid w:val="00844D15"/>
    <w:rsid w:val="008C71B3"/>
    <w:rsid w:val="00AB4A72"/>
    <w:rsid w:val="00B22711"/>
    <w:rsid w:val="00C03AB9"/>
    <w:rsid w:val="00C345D4"/>
    <w:rsid w:val="00C41415"/>
    <w:rsid w:val="00C659A7"/>
    <w:rsid w:val="00CA7CBC"/>
    <w:rsid w:val="00D27B2B"/>
    <w:rsid w:val="00D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4EED"/>
  <w15:chartTrackingRefBased/>
  <w15:docId w15:val="{8335BF70-0C32-4F5B-A78E-8E81AC6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王果</dc:creator>
  <cp:keywords/>
  <dc:description/>
  <cp:lastModifiedBy>lenovo</cp:lastModifiedBy>
  <cp:revision>5</cp:revision>
  <dcterms:created xsi:type="dcterms:W3CDTF">2019-11-18T07:33:00Z</dcterms:created>
  <dcterms:modified xsi:type="dcterms:W3CDTF">2020-06-10T07:05:00Z</dcterms:modified>
</cp:coreProperties>
</file>