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F8" w:rsidRPr="00727F07" w:rsidRDefault="00A777F8" w:rsidP="00A777F8">
      <w:pPr>
        <w:rPr>
          <w:rFonts w:eastAsia="黑体"/>
          <w:sz w:val="32"/>
          <w:szCs w:val="32"/>
        </w:rPr>
      </w:pPr>
      <w:r w:rsidRPr="00727F07">
        <w:rPr>
          <w:rFonts w:eastAsia="黑体"/>
          <w:sz w:val="32"/>
          <w:szCs w:val="32"/>
        </w:rPr>
        <w:t>附件</w:t>
      </w:r>
    </w:p>
    <w:p w:rsidR="00A777F8" w:rsidRPr="00727F07" w:rsidRDefault="00A777F8" w:rsidP="00A777F8">
      <w:pPr>
        <w:spacing w:line="220" w:lineRule="atLeast"/>
        <w:ind w:firstLineChars="200" w:firstLine="880"/>
        <w:jc w:val="center"/>
        <w:rPr>
          <w:rFonts w:eastAsia="方正小标宋简体"/>
          <w:color w:val="000000"/>
          <w:sz w:val="44"/>
          <w:szCs w:val="44"/>
        </w:rPr>
      </w:pPr>
      <w:bookmarkStart w:id="0" w:name="_GoBack"/>
      <w:bookmarkEnd w:id="0"/>
      <w:r w:rsidRPr="00727F07">
        <w:rPr>
          <w:rFonts w:eastAsia="方正小标宋简体"/>
          <w:color w:val="000000"/>
          <w:sz w:val="44"/>
          <w:szCs w:val="44"/>
        </w:rPr>
        <w:t>26</w:t>
      </w:r>
      <w:r w:rsidRPr="00727F07">
        <w:rPr>
          <w:rFonts w:eastAsia="方正小标宋简体"/>
          <w:color w:val="000000"/>
          <w:sz w:val="44"/>
          <w:szCs w:val="44"/>
        </w:rPr>
        <w:t>批次不符合规定药品名单</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298"/>
        <w:gridCol w:w="1843"/>
        <w:gridCol w:w="992"/>
        <w:gridCol w:w="1134"/>
        <w:gridCol w:w="1985"/>
        <w:gridCol w:w="2268"/>
        <w:gridCol w:w="990"/>
        <w:gridCol w:w="1419"/>
        <w:gridCol w:w="1701"/>
      </w:tblGrid>
      <w:tr w:rsidR="00A777F8" w:rsidRPr="00727F07" w:rsidTr="005F021F">
        <w:trPr>
          <w:trHeight w:val="980"/>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b/>
                <w:bCs/>
                <w:color w:val="000000"/>
                <w:szCs w:val="21"/>
              </w:rPr>
            </w:pPr>
            <w:r w:rsidRPr="00727F07">
              <w:rPr>
                <w:rFonts w:eastAsia="仿宋_GB2312"/>
                <w:b/>
                <w:bCs/>
                <w:color w:val="000000"/>
                <w:szCs w:val="21"/>
              </w:rPr>
              <w:t>序号</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b/>
                <w:bCs/>
                <w:color w:val="000000"/>
                <w:szCs w:val="21"/>
              </w:rPr>
            </w:pPr>
            <w:r w:rsidRPr="00727F07">
              <w:rPr>
                <w:rFonts w:eastAsia="仿宋_GB2312"/>
                <w:b/>
                <w:bCs/>
                <w:color w:val="000000"/>
                <w:szCs w:val="21"/>
              </w:rPr>
              <w:t>药品品名</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b/>
                <w:bCs/>
                <w:color w:val="000000"/>
                <w:szCs w:val="21"/>
              </w:rPr>
            </w:pPr>
            <w:r w:rsidRPr="00727F07">
              <w:rPr>
                <w:rFonts w:eastAsia="仿宋_GB2312"/>
                <w:b/>
                <w:bCs/>
                <w:color w:val="000000"/>
                <w:szCs w:val="21"/>
              </w:rPr>
              <w:t>标示生产企业</w:t>
            </w:r>
            <w:r>
              <w:rPr>
                <w:rFonts w:eastAsia="仿宋_GB2312" w:hint="eastAsia"/>
                <w:b/>
                <w:bCs/>
                <w:color w:val="000000"/>
                <w:szCs w:val="21"/>
              </w:rPr>
              <w:t xml:space="preserve">  </w:t>
            </w:r>
            <w:r w:rsidRPr="00727F07">
              <w:rPr>
                <w:rFonts w:eastAsia="仿宋_GB2312"/>
                <w:b/>
                <w:bCs/>
                <w:color w:val="000000"/>
                <w:szCs w:val="21"/>
              </w:rPr>
              <w:t>名称</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b/>
                <w:bCs/>
                <w:color w:val="000000"/>
                <w:szCs w:val="21"/>
              </w:rPr>
            </w:pPr>
            <w:r w:rsidRPr="00727F07">
              <w:rPr>
                <w:rFonts w:eastAsia="仿宋_GB2312"/>
                <w:b/>
                <w:bCs/>
                <w:color w:val="000000"/>
                <w:szCs w:val="21"/>
              </w:rPr>
              <w:t>药品</w:t>
            </w:r>
            <w:r>
              <w:rPr>
                <w:rFonts w:eastAsia="仿宋_GB2312" w:hint="eastAsia"/>
                <w:b/>
                <w:bCs/>
                <w:color w:val="000000"/>
                <w:szCs w:val="21"/>
              </w:rPr>
              <w:t xml:space="preserve">  </w:t>
            </w:r>
            <w:r w:rsidRPr="00727F07">
              <w:rPr>
                <w:rFonts w:eastAsia="仿宋_GB2312"/>
                <w:b/>
                <w:bCs/>
                <w:color w:val="000000"/>
                <w:szCs w:val="21"/>
              </w:rPr>
              <w:t>规格</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b/>
                <w:bCs/>
                <w:color w:val="000000"/>
                <w:szCs w:val="21"/>
              </w:rPr>
            </w:pPr>
            <w:r w:rsidRPr="00727F07">
              <w:rPr>
                <w:rFonts w:eastAsia="仿宋_GB2312"/>
                <w:b/>
                <w:bCs/>
                <w:color w:val="000000"/>
                <w:szCs w:val="21"/>
              </w:rPr>
              <w:t>生产批号</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b/>
                <w:bCs/>
                <w:color w:val="000000"/>
                <w:szCs w:val="21"/>
              </w:rPr>
            </w:pPr>
            <w:r w:rsidRPr="00727F07">
              <w:rPr>
                <w:rFonts w:eastAsia="仿宋_GB2312"/>
                <w:b/>
                <w:bCs/>
                <w:color w:val="000000"/>
                <w:szCs w:val="21"/>
              </w:rPr>
              <w:t>检品来源</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b/>
                <w:bCs/>
                <w:color w:val="000000"/>
                <w:szCs w:val="21"/>
              </w:rPr>
            </w:pPr>
            <w:r w:rsidRPr="00727F07">
              <w:rPr>
                <w:rFonts w:eastAsia="仿宋_GB2312"/>
                <w:b/>
                <w:bCs/>
                <w:color w:val="000000"/>
                <w:szCs w:val="21"/>
              </w:rPr>
              <w:t>检验依据</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b/>
                <w:bCs/>
                <w:color w:val="000000"/>
                <w:szCs w:val="21"/>
              </w:rPr>
            </w:pPr>
            <w:r w:rsidRPr="00727F07">
              <w:rPr>
                <w:rFonts w:eastAsia="仿宋_GB2312"/>
                <w:b/>
                <w:bCs/>
                <w:color w:val="000000"/>
                <w:szCs w:val="21"/>
              </w:rPr>
              <w:t>检验</w:t>
            </w:r>
            <w:r>
              <w:rPr>
                <w:rFonts w:eastAsia="仿宋_GB2312" w:hint="eastAsia"/>
                <w:b/>
                <w:bCs/>
                <w:color w:val="000000"/>
                <w:szCs w:val="21"/>
              </w:rPr>
              <w:t xml:space="preserve">  </w:t>
            </w:r>
            <w:r w:rsidRPr="00727F07">
              <w:rPr>
                <w:rFonts w:eastAsia="仿宋_GB2312"/>
                <w:b/>
                <w:bCs/>
                <w:color w:val="000000"/>
                <w:szCs w:val="21"/>
              </w:rPr>
              <w:t>结果</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b/>
                <w:bCs/>
                <w:color w:val="000000"/>
                <w:szCs w:val="21"/>
              </w:rPr>
            </w:pPr>
            <w:r w:rsidRPr="00727F07">
              <w:rPr>
                <w:rFonts w:eastAsia="仿宋_GB2312"/>
                <w:b/>
                <w:bCs/>
                <w:color w:val="000000"/>
                <w:szCs w:val="21"/>
              </w:rPr>
              <w:t>不合格项目</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b/>
                <w:bCs/>
                <w:color w:val="000000"/>
                <w:szCs w:val="21"/>
              </w:rPr>
            </w:pPr>
            <w:r w:rsidRPr="00727F07">
              <w:rPr>
                <w:rFonts w:eastAsia="仿宋_GB2312"/>
                <w:b/>
                <w:bCs/>
                <w:color w:val="000000"/>
                <w:szCs w:val="21"/>
              </w:rPr>
              <w:t>检验机构名称</w:t>
            </w:r>
          </w:p>
        </w:tc>
      </w:tr>
      <w:tr w:rsidR="00A777F8" w:rsidRPr="00727F07" w:rsidTr="005F021F">
        <w:trPr>
          <w:trHeight w:val="1080"/>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 xml:space="preserve">1 </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维</w:t>
            </w:r>
            <w:r w:rsidRPr="00727F07">
              <w:rPr>
                <w:rFonts w:eastAsia="仿宋_GB2312"/>
                <w:color w:val="000000"/>
                <w:szCs w:val="21"/>
              </w:rPr>
              <w:t>C</w:t>
            </w:r>
            <w:r w:rsidRPr="00727F07">
              <w:rPr>
                <w:rFonts w:eastAsia="仿宋_GB2312"/>
                <w:color w:val="000000"/>
                <w:szCs w:val="21"/>
              </w:rPr>
              <w:t>银翘片</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吉林济邦药业有限公司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每片含维生素</w:t>
            </w:r>
            <w:r w:rsidRPr="00727F07">
              <w:rPr>
                <w:rFonts w:eastAsia="仿宋_GB2312"/>
                <w:color w:val="000000"/>
                <w:szCs w:val="21"/>
              </w:rPr>
              <w:t>C49.5</w:t>
            </w:r>
            <w:r w:rsidRPr="00727F07">
              <w:rPr>
                <w:rFonts w:eastAsia="仿宋_GB2312"/>
                <w:color w:val="000000"/>
                <w:szCs w:val="21"/>
              </w:rPr>
              <w:t>毫克，对乙酰氨基酚</w:t>
            </w:r>
            <w:r w:rsidRPr="00727F07">
              <w:rPr>
                <w:rFonts w:eastAsia="仿宋_GB2312"/>
                <w:color w:val="000000"/>
                <w:szCs w:val="21"/>
              </w:rPr>
              <w:t>105</w:t>
            </w:r>
            <w:r w:rsidRPr="00727F07">
              <w:rPr>
                <w:rFonts w:eastAsia="仿宋_GB2312"/>
                <w:color w:val="000000"/>
                <w:szCs w:val="21"/>
              </w:rPr>
              <w:t>毫克，马来酸氯苯那敏</w:t>
            </w:r>
            <w:r w:rsidRPr="00727F07">
              <w:rPr>
                <w:rFonts w:eastAsia="仿宋_GB2312"/>
                <w:color w:val="000000"/>
                <w:szCs w:val="21"/>
              </w:rPr>
              <w:t>1.05</w:t>
            </w:r>
            <w:r w:rsidRPr="00727F07">
              <w:rPr>
                <w:rFonts w:eastAsia="仿宋_GB2312"/>
                <w:color w:val="000000"/>
                <w:szCs w:val="21"/>
              </w:rPr>
              <w:t>毫克</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20181002</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巴中市惠康药业连锁有限公司</w:t>
            </w:r>
            <w:r w:rsidRPr="00727F07">
              <w:rPr>
                <w:rFonts w:eastAsia="仿宋_GB2312"/>
                <w:color w:val="000000"/>
                <w:szCs w:val="21"/>
              </w:rPr>
              <w:t>278</w:t>
            </w:r>
            <w:r w:rsidRPr="00727F07">
              <w:rPr>
                <w:rFonts w:eastAsia="仿宋_GB2312"/>
                <w:color w:val="000000"/>
                <w:szCs w:val="21"/>
              </w:rPr>
              <w:t>分店</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性状</w:t>
            </w:r>
            <w:r w:rsidRPr="00727F07">
              <w:rPr>
                <w:rFonts w:eastAsia="仿宋_GB2312"/>
                <w:color w:val="000000"/>
                <w:szCs w:val="21"/>
              </w:rPr>
              <w:t>]</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秦巴产品质量检验检测中心</w:t>
            </w:r>
          </w:p>
        </w:tc>
      </w:tr>
      <w:tr w:rsidR="00A777F8" w:rsidRPr="00727F07" w:rsidTr="005F021F">
        <w:trPr>
          <w:trHeight w:val="863"/>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 xml:space="preserve">2 </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阿司匹林肠溶片</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河北金砖药业有限公司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50mg</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180104</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成都市双流区迎龙福康大药房</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年版二部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性状</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检查</w:t>
            </w:r>
            <w:r w:rsidRPr="00727F07">
              <w:rPr>
                <w:rFonts w:eastAsia="仿宋_GB2312"/>
                <w:color w:val="000000"/>
                <w:szCs w:val="21"/>
              </w:rPr>
              <w:t>]</w:t>
            </w:r>
            <w:r w:rsidRPr="00727F07">
              <w:rPr>
                <w:rFonts w:eastAsia="仿宋_GB2312"/>
                <w:color w:val="000000"/>
                <w:szCs w:val="21"/>
              </w:rPr>
              <w:t>（游离水杨酸）、</w:t>
            </w:r>
            <w:r w:rsidRPr="00727F07">
              <w:rPr>
                <w:rFonts w:eastAsia="仿宋_GB2312"/>
                <w:color w:val="000000"/>
                <w:szCs w:val="21"/>
              </w:rPr>
              <w:t>[</w:t>
            </w:r>
            <w:r w:rsidRPr="00727F07">
              <w:rPr>
                <w:rFonts w:eastAsia="仿宋_GB2312"/>
                <w:color w:val="000000"/>
                <w:szCs w:val="21"/>
              </w:rPr>
              <w:t>含量测定</w:t>
            </w:r>
            <w:r w:rsidRPr="00727F07">
              <w:rPr>
                <w:rFonts w:eastAsia="仿宋_GB2312"/>
                <w:color w:val="000000"/>
                <w:szCs w:val="21"/>
              </w:rPr>
              <w:t>]</w:t>
            </w:r>
            <w:r w:rsidRPr="00727F07">
              <w:rPr>
                <w:rFonts w:eastAsia="仿宋_GB2312"/>
                <w:color w:val="000000"/>
                <w:szCs w:val="21"/>
              </w:rPr>
              <w:t>（阿司匹林）</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成都市食品药品检验研究院</w:t>
            </w:r>
          </w:p>
        </w:tc>
      </w:tr>
      <w:tr w:rsidR="00A777F8" w:rsidRPr="00727F07" w:rsidTr="005F021F">
        <w:trPr>
          <w:trHeight w:val="765"/>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3</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元胡止痛片</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商丘市金马药业有限公司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18111712</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四川宏冠药业有限责任公司</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年版一部及国家食品药品监督管理总局药品补充检验方法和检验</w:t>
            </w:r>
            <w:r w:rsidRPr="00727F07">
              <w:rPr>
                <w:rFonts w:eastAsia="仿宋_GB2312"/>
                <w:color w:val="000000"/>
                <w:szCs w:val="21"/>
              </w:rPr>
              <w:lastRenderedPageBreak/>
              <w:t>项目批准件</w:t>
            </w:r>
            <w:r w:rsidRPr="00727F07">
              <w:rPr>
                <w:rFonts w:eastAsia="仿宋_GB2312"/>
                <w:color w:val="000000"/>
                <w:szCs w:val="21"/>
              </w:rPr>
              <w:t>2014004</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lastRenderedPageBreak/>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检查</w:t>
            </w:r>
            <w:r w:rsidRPr="00727F07">
              <w:rPr>
                <w:rFonts w:eastAsia="仿宋_GB2312"/>
                <w:color w:val="000000"/>
                <w:szCs w:val="21"/>
              </w:rPr>
              <w:t>]</w:t>
            </w:r>
            <w:r w:rsidRPr="00727F07">
              <w:rPr>
                <w:rFonts w:eastAsia="仿宋_GB2312"/>
                <w:color w:val="000000"/>
                <w:szCs w:val="21"/>
              </w:rPr>
              <w:t>（金胺</w:t>
            </w:r>
            <w:r w:rsidRPr="00727F07">
              <w:rPr>
                <w:rFonts w:eastAsia="仿宋_GB2312"/>
                <w:color w:val="000000"/>
                <w:szCs w:val="21"/>
              </w:rPr>
              <w:t>O</w:t>
            </w:r>
            <w:r w:rsidRPr="00727F07">
              <w:rPr>
                <w:rFonts w:eastAsia="仿宋_GB2312"/>
                <w:color w:val="000000"/>
                <w:szCs w:val="21"/>
              </w:rPr>
              <w:t>）</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资阳市食品药品检验检测中心</w:t>
            </w:r>
          </w:p>
        </w:tc>
      </w:tr>
      <w:tr w:rsidR="00A777F8" w:rsidRPr="00727F07" w:rsidTr="005F021F">
        <w:trPr>
          <w:trHeight w:val="1623"/>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4</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元胡止痛片</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商丘市金马药业有限公司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18111711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旺苍县东河镇中心卫生院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年版一部及国家食品药品监督管理总局药品补充检验方法和检验项目批准件</w:t>
            </w:r>
            <w:r w:rsidRPr="00727F07">
              <w:rPr>
                <w:rFonts w:eastAsia="仿宋_GB2312"/>
                <w:color w:val="000000"/>
                <w:szCs w:val="21"/>
              </w:rPr>
              <w:t>2014004</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检查</w:t>
            </w:r>
            <w:r w:rsidRPr="00727F07">
              <w:rPr>
                <w:rFonts w:eastAsia="仿宋_GB2312"/>
                <w:color w:val="000000"/>
                <w:szCs w:val="21"/>
              </w:rPr>
              <w:t>]</w:t>
            </w:r>
            <w:r w:rsidRPr="00727F07">
              <w:rPr>
                <w:rFonts w:eastAsia="仿宋_GB2312"/>
                <w:color w:val="000000"/>
                <w:szCs w:val="21"/>
              </w:rPr>
              <w:t>（金胺</w:t>
            </w:r>
            <w:r w:rsidRPr="00727F07">
              <w:rPr>
                <w:rFonts w:eastAsia="仿宋_GB2312"/>
                <w:color w:val="000000"/>
                <w:szCs w:val="21"/>
              </w:rPr>
              <w:t>O</w:t>
            </w:r>
            <w:r w:rsidRPr="00727F07">
              <w:rPr>
                <w:rFonts w:eastAsia="仿宋_GB2312"/>
                <w:color w:val="000000"/>
                <w:szCs w:val="21"/>
              </w:rPr>
              <w:t>）</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资阳市食品药品检验检测中心</w:t>
            </w:r>
          </w:p>
        </w:tc>
      </w:tr>
      <w:tr w:rsidR="00A777F8" w:rsidRPr="00727F07" w:rsidTr="005F021F">
        <w:trPr>
          <w:trHeight w:val="765"/>
          <w:jc w:val="center"/>
        </w:trPr>
        <w:tc>
          <w:tcPr>
            <w:tcW w:w="653" w:type="dxa"/>
            <w:vMerge w:val="restart"/>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5</w:t>
            </w:r>
          </w:p>
        </w:tc>
        <w:tc>
          <w:tcPr>
            <w:tcW w:w="1298" w:type="dxa"/>
            <w:vMerge w:val="restart"/>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元胡止痛片</w:t>
            </w:r>
          </w:p>
        </w:tc>
        <w:tc>
          <w:tcPr>
            <w:tcW w:w="1843" w:type="dxa"/>
            <w:vMerge w:val="restart"/>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商丘市金马药业有限公司</w:t>
            </w:r>
          </w:p>
        </w:tc>
        <w:tc>
          <w:tcPr>
            <w:tcW w:w="992" w:type="dxa"/>
            <w:vMerge w:val="restart"/>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p>
        </w:tc>
        <w:tc>
          <w:tcPr>
            <w:tcW w:w="1134" w:type="dxa"/>
            <w:vMerge w:val="restart"/>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19032912</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四川铭圣医药贸易有限公司</w:t>
            </w:r>
          </w:p>
        </w:tc>
        <w:tc>
          <w:tcPr>
            <w:tcW w:w="2268" w:type="dxa"/>
            <w:vMerge w:val="restart"/>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年版一部及国家食品药品监督管理总局药品补充检验方法和检验项目批准件</w:t>
            </w:r>
            <w:r w:rsidRPr="00727F07">
              <w:rPr>
                <w:rFonts w:eastAsia="仿宋_GB2312"/>
                <w:color w:val="000000"/>
                <w:szCs w:val="21"/>
              </w:rPr>
              <w:t>2014004</w:t>
            </w:r>
          </w:p>
        </w:tc>
        <w:tc>
          <w:tcPr>
            <w:tcW w:w="990" w:type="dxa"/>
            <w:vMerge w:val="restart"/>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vMerge w:val="restart"/>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检查</w:t>
            </w:r>
            <w:r w:rsidRPr="00727F07">
              <w:rPr>
                <w:rFonts w:eastAsia="仿宋_GB2312"/>
                <w:color w:val="000000"/>
                <w:szCs w:val="21"/>
              </w:rPr>
              <w:t>]</w:t>
            </w:r>
            <w:r w:rsidRPr="00727F07">
              <w:rPr>
                <w:rFonts w:eastAsia="仿宋_GB2312"/>
                <w:color w:val="000000"/>
                <w:szCs w:val="21"/>
              </w:rPr>
              <w:t>（金胺</w:t>
            </w:r>
            <w:r w:rsidRPr="00727F07">
              <w:rPr>
                <w:rFonts w:eastAsia="仿宋_GB2312"/>
                <w:color w:val="000000"/>
                <w:szCs w:val="21"/>
              </w:rPr>
              <w:t>O</w:t>
            </w:r>
            <w:r w:rsidRPr="00727F07">
              <w:rPr>
                <w:rFonts w:eastAsia="仿宋_GB2312"/>
                <w:color w:val="000000"/>
                <w:szCs w:val="21"/>
              </w:rPr>
              <w:t>）</w:t>
            </w:r>
          </w:p>
        </w:tc>
        <w:tc>
          <w:tcPr>
            <w:tcW w:w="1701" w:type="dxa"/>
            <w:vMerge w:val="restart"/>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资阳市食品药品检验检测中心</w:t>
            </w:r>
          </w:p>
        </w:tc>
      </w:tr>
      <w:tr w:rsidR="00A777F8" w:rsidRPr="00727F07" w:rsidTr="005F021F">
        <w:trPr>
          <w:trHeight w:val="905"/>
          <w:jc w:val="center"/>
        </w:trPr>
        <w:tc>
          <w:tcPr>
            <w:tcW w:w="653"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298"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843"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992"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134"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四川众信堂医药贸易有限公司</w:t>
            </w:r>
          </w:p>
        </w:tc>
        <w:tc>
          <w:tcPr>
            <w:tcW w:w="2268"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990"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419"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701"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r>
      <w:tr w:rsidR="00A777F8" w:rsidRPr="00727F07" w:rsidTr="005F021F">
        <w:trPr>
          <w:trHeight w:val="662"/>
          <w:jc w:val="center"/>
        </w:trPr>
        <w:tc>
          <w:tcPr>
            <w:tcW w:w="653"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298"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843"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992"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134"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荣县一仁堂大药房二店</w:t>
            </w:r>
          </w:p>
        </w:tc>
        <w:tc>
          <w:tcPr>
            <w:tcW w:w="2268"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990"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419"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c>
          <w:tcPr>
            <w:tcW w:w="1701" w:type="dxa"/>
            <w:vMerge/>
            <w:shd w:val="clear" w:color="000000" w:fill="FFFFFF"/>
            <w:vAlign w:val="center"/>
            <w:hideMark/>
          </w:tcPr>
          <w:p w:rsidR="00A777F8" w:rsidRPr="00727F07" w:rsidRDefault="00A777F8" w:rsidP="005F021F">
            <w:pPr>
              <w:spacing w:line="300" w:lineRule="exact"/>
              <w:jc w:val="center"/>
              <w:rPr>
                <w:rFonts w:eastAsia="仿宋_GB2312"/>
                <w:color w:val="000000"/>
                <w:szCs w:val="21"/>
              </w:rPr>
            </w:pPr>
          </w:p>
        </w:tc>
      </w:tr>
      <w:tr w:rsidR="00A777F8" w:rsidRPr="00727F07" w:rsidTr="005F021F">
        <w:trPr>
          <w:trHeight w:val="1011"/>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6</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淫羊霍</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四川自强中药有限公司</w:t>
            </w:r>
          </w:p>
        </w:tc>
        <w:tc>
          <w:tcPr>
            <w:tcW w:w="992" w:type="dxa"/>
            <w:shd w:val="clear" w:color="000000" w:fill="FFFFFF"/>
            <w:vAlign w:val="center"/>
            <w:hideMark/>
          </w:tcPr>
          <w:p w:rsidR="00A777F8" w:rsidRPr="00727F07" w:rsidRDefault="00A777F8" w:rsidP="005F021F">
            <w:pPr>
              <w:spacing w:line="300" w:lineRule="exact"/>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170601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平昌县粉壁镇卫生院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性状</w:t>
            </w:r>
            <w:r w:rsidRPr="00727F07">
              <w:rPr>
                <w:rFonts w:eastAsia="仿宋_GB2312"/>
                <w:color w:val="000000"/>
                <w:szCs w:val="21"/>
              </w:rPr>
              <w:t>][</w:t>
            </w:r>
            <w:r w:rsidRPr="00727F07">
              <w:rPr>
                <w:rFonts w:eastAsia="仿宋_GB2312"/>
                <w:color w:val="000000"/>
                <w:szCs w:val="21"/>
              </w:rPr>
              <w:t>含量测定</w:t>
            </w:r>
            <w:r w:rsidRPr="00727F07">
              <w:rPr>
                <w:rFonts w:eastAsia="仿宋_GB2312"/>
                <w:color w:val="000000"/>
                <w:szCs w:val="21"/>
              </w:rPr>
              <w:t>](</w:t>
            </w:r>
            <w:r w:rsidRPr="00727F07">
              <w:rPr>
                <w:rFonts w:eastAsia="仿宋_GB2312"/>
                <w:color w:val="000000"/>
                <w:szCs w:val="21"/>
              </w:rPr>
              <w:t>淫羊藿苷）</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秦巴产品质量检验检测中心</w:t>
            </w:r>
          </w:p>
        </w:tc>
      </w:tr>
      <w:tr w:rsidR="00A777F8" w:rsidRPr="00727F07" w:rsidTr="005F021F">
        <w:trPr>
          <w:trHeight w:val="1693"/>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7</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淫羊藿</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四川皓博药业有限公司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170202</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越西博爱医院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《中国药典》</w:t>
            </w:r>
            <w:r w:rsidRPr="00727F07">
              <w:rPr>
                <w:rFonts w:eastAsia="仿宋_GB2312"/>
                <w:szCs w:val="21"/>
              </w:rPr>
              <w:t>2015</w:t>
            </w:r>
            <w:r w:rsidRPr="00727F07">
              <w:rPr>
                <w:rFonts w:eastAsia="仿宋_GB2312"/>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w:t>
            </w:r>
            <w:r w:rsidRPr="00727F07">
              <w:rPr>
                <w:rFonts w:eastAsia="仿宋_GB2312"/>
                <w:szCs w:val="21"/>
              </w:rPr>
              <w:t>性状</w:t>
            </w:r>
            <w:r w:rsidRPr="00727F07">
              <w:rPr>
                <w:rFonts w:eastAsia="仿宋_GB2312"/>
                <w:szCs w:val="21"/>
              </w:rPr>
              <w:t>]</w:t>
            </w:r>
            <w:r w:rsidRPr="00727F07">
              <w:rPr>
                <w:rFonts w:eastAsia="仿宋_GB2312"/>
                <w:szCs w:val="21"/>
              </w:rPr>
              <w:t>、</w:t>
            </w:r>
            <w:r w:rsidRPr="00727F07">
              <w:rPr>
                <w:rFonts w:eastAsia="仿宋_GB2312"/>
                <w:szCs w:val="21"/>
              </w:rPr>
              <w:t>[</w:t>
            </w:r>
            <w:r w:rsidRPr="00727F07">
              <w:rPr>
                <w:rFonts w:eastAsia="仿宋_GB2312"/>
                <w:szCs w:val="21"/>
              </w:rPr>
              <w:t>鉴别</w:t>
            </w:r>
            <w:r w:rsidRPr="00727F07">
              <w:rPr>
                <w:rFonts w:eastAsia="仿宋_GB2312"/>
                <w:szCs w:val="21"/>
              </w:rPr>
              <w:t>][</w:t>
            </w:r>
            <w:r w:rsidRPr="00727F07">
              <w:rPr>
                <w:rFonts w:eastAsia="仿宋_GB2312"/>
                <w:szCs w:val="21"/>
              </w:rPr>
              <w:t>（</w:t>
            </w:r>
            <w:r w:rsidRPr="00727F07">
              <w:rPr>
                <w:rFonts w:eastAsia="仿宋_GB2312"/>
                <w:szCs w:val="21"/>
              </w:rPr>
              <w:t>2</w:t>
            </w:r>
            <w:r w:rsidRPr="00727F07">
              <w:rPr>
                <w:rFonts w:eastAsia="仿宋_GB2312"/>
                <w:szCs w:val="21"/>
              </w:rPr>
              <w:t>）薄层色谱</w:t>
            </w:r>
            <w:r w:rsidRPr="00727F07">
              <w:rPr>
                <w:rFonts w:eastAsia="仿宋_GB2312"/>
                <w:szCs w:val="21"/>
              </w:rPr>
              <w:t>]</w:t>
            </w:r>
            <w:r w:rsidRPr="00727F07">
              <w:rPr>
                <w:rFonts w:eastAsia="仿宋_GB2312"/>
                <w:szCs w:val="21"/>
              </w:rPr>
              <w:t>、</w:t>
            </w:r>
            <w:r w:rsidRPr="00727F07">
              <w:rPr>
                <w:rFonts w:eastAsia="仿宋_GB2312"/>
                <w:szCs w:val="21"/>
              </w:rPr>
              <w:t>[</w:t>
            </w:r>
            <w:r w:rsidRPr="00727F07">
              <w:rPr>
                <w:rFonts w:eastAsia="仿宋_GB2312"/>
                <w:szCs w:val="21"/>
              </w:rPr>
              <w:t>含量测定</w:t>
            </w:r>
            <w:r w:rsidRPr="00727F07">
              <w:rPr>
                <w:rFonts w:eastAsia="仿宋_GB2312"/>
                <w:szCs w:val="21"/>
              </w:rPr>
              <w:t>]</w:t>
            </w:r>
            <w:r w:rsidRPr="00727F07">
              <w:rPr>
                <w:rFonts w:eastAsia="仿宋_GB2312"/>
                <w:szCs w:val="21"/>
              </w:rPr>
              <w:t>（淫羊藿苷）</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凉山州食品药品检验所</w:t>
            </w:r>
          </w:p>
        </w:tc>
      </w:tr>
      <w:tr w:rsidR="00A777F8" w:rsidRPr="00727F07" w:rsidTr="005F021F">
        <w:trPr>
          <w:trHeight w:val="765"/>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8</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决明子</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四川同正堂中药饮片有限公司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181001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都江堰宁江医院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含量测定</w:t>
            </w:r>
            <w:r w:rsidRPr="00727F07">
              <w:rPr>
                <w:rFonts w:eastAsia="仿宋_GB2312"/>
                <w:color w:val="000000"/>
                <w:szCs w:val="21"/>
              </w:rPr>
              <w:t>](</w:t>
            </w:r>
            <w:r w:rsidRPr="00727F07">
              <w:rPr>
                <w:rFonts w:eastAsia="仿宋_GB2312"/>
                <w:color w:val="000000"/>
                <w:szCs w:val="21"/>
              </w:rPr>
              <w:t>大黄酚）</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成都市食品药品检验研究院</w:t>
            </w:r>
          </w:p>
        </w:tc>
      </w:tr>
      <w:tr w:rsidR="00A777F8" w:rsidRPr="00727F07" w:rsidTr="005F021F">
        <w:trPr>
          <w:trHeight w:val="991"/>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lastRenderedPageBreak/>
              <w:t>9</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蝉蜕</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四川康泉堂中药饮片有限公司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180801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四川海王星辰健康药房连锁有限公司郫都区犀浦镇金粮路药店</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2010</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性状</w:t>
            </w:r>
            <w:r w:rsidRPr="00727F07">
              <w:rPr>
                <w:rFonts w:eastAsia="仿宋_GB2312"/>
                <w:color w:val="000000"/>
                <w:szCs w:val="21"/>
              </w:rPr>
              <w:t>]</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成都市食品药品检验研究院</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10</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浙贝母</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四川省中药饮片有限责任公司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190223</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都江堰市第二人民医院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《中国药典》</w:t>
            </w:r>
            <w:r w:rsidRPr="00727F07">
              <w:rPr>
                <w:rFonts w:eastAsia="仿宋_GB2312"/>
                <w:szCs w:val="21"/>
              </w:rPr>
              <w:t>2015</w:t>
            </w:r>
            <w:r w:rsidRPr="00727F07">
              <w:rPr>
                <w:rFonts w:eastAsia="仿宋_GB2312"/>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w:t>
            </w:r>
            <w:r w:rsidRPr="00727F07">
              <w:rPr>
                <w:rFonts w:eastAsia="仿宋_GB2312"/>
                <w:szCs w:val="21"/>
              </w:rPr>
              <w:t>性状</w:t>
            </w:r>
            <w:r w:rsidRPr="00727F07">
              <w:rPr>
                <w:rFonts w:eastAsia="仿宋_GB2312"/>
                <w:szCs w:val="21"/>
              </w:rPr>
              <w:t>][</w:t>
            </w:r>
            <w:r w:rsidRPr="00727F07">
              <w:rPr>
                <w:rFonts w:eastAsia="仿宋_GB2312"/>
                <w:szCs w:val="21"/>
              </w:rPr>
              <w:t>鉴别</w:t>
            </w:r>
            <w:r w:rsidRPr="00727F07">
              <w:rPr>
                <w:rFonts w:eastAsia="仿宋_GB2312"/>
                <w:szCs w:val="21"/>
              </w:rPr>
              <w:t>]</w:t>
            </w:r>
            <w:r w:rsidRPr="00727F07">
              <w:rPr>
                <w:rFonts w:eastAsia="仿宋_GB2312"/>
                <w:szCs w:val="21"/>
              </w:rPr>
              <w:t>（显微特征）</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成都市食品药品检验研究院</w:t>
            </w:r>
            <w:r w:rsidRPr="00727F07">
              <w:rPr>
                <w:rFonts w:eastAsia="仿宋_GB2312"/>
                <w:szCs w:val="21"/>
              </w:rPr>
              <w:t xml:space="preserve">  </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11</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浙贝母</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成都市天晟中药材饮片有限责任公司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190301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蒲江县复兴乡为民药店</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《中国药典》</w:t>
            </w:r>
            <w:r w:rsidRPr="00727F07">
              <w:rPr>
                <w:rFonts w:eastAsia="仿宋_GB2312"/>
                <w:szCs w:val="21"/>
              </w:rPr>
              <w:t>2015</w:t>
            </w:r>
            <w:r w:rsidRPr="00727F07">
              <w:rPr>
                <w:rFonts w:eastAsia="仿宋_GB2312"/>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w:t>
            </w:r>
            <w:r w:rsidRPr="00727F07">
              <w:rPr>
                <w:rFonts w:eastAsia="仿宋_GB2312"/>
                <w:szCs w:val="21"/>
              </w:rPr>
              <w:t>性状</w:t>
            </w:r>
            <w:r w:rsidRPr="00727F07">
              <w:rPr>
                <w:rFonts w:eastAsia="仿宋_GB2312"/>
                <w:szCs w:val="21"/>
              </w:rPr>
              <w:t>][</w:t>
            </w:r>
            <w:r w:rsidRPr="00727F07">
              <w:rPr>
                <w:rFonts w:eastAsia="仿宋_GB2312"/>
                <w:szCs w:val="21"/>
              </w:rPr>
              <w:t>鉴别</w:t>
            </w:r>
            <w:r w:rsidRPr="00727F07">
              <w:rPr>
                <w:rFonts w:eastAsia="仿宋_GB2312"/>
                <w:szCs w:val="21"/>
              </w:rPr>
              <w:t>]</w:t>
            </w:r>
            <w:r w:rsidRPr="00727F07">
              <w:rPr>
                <w:rFonts w:eastAsia="仿宋_GB2312"/>
                <w:szCs w:val="21"/>
              </w:rPr>
              <w:t>（显微特征）</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成都市食品药品检验研究院</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12</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甘松</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四川五芝中药饮片有限公司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180901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四川省广元煌地药房连锁有限公司</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性状</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检查</w:t>
            </w:r>
            <w:r w:rsidRPr="00727F07">
              <w:rPr>
                <w:rFonts w:eastAsia="仿宋_GB2312"/>
                <w:color w:val="000000"/>
                <w:szCs w:val="21"/>
              </w:rPr>
              <w:t>]</w:t>
            </w:r>
            <w:r w:rsidRPr="00727F07">
              <w:rPr>
                <w:rFonts w:eastAsia="仿宋_GB2312"/>
                <w:color w:val="000000"/>
                <w:szCs w:val="21"/>
              </w:rPr>
              <w:t>（药屑杂质）</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广元市食品药品检验检测中心</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13</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甘松</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江西国都中药饮片有限公司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20181101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广元市利州区中西医结合医院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性状</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检查</w:t>
            </w:r>
            <w:r w:rsidRPr="00727F07">
              <w:rPr>
                <w:rFonts w:eastAsia="仿宋_GB2312"/>
                <w:color w:val="000000"/>
                <w:szCs w:val="21"/>
              </w:rPr>
              <w:t>]</w:t>
            </w:r>
            <w:r w:rsidRPr="00727F07">
              <w:rPr>
                <w:rFonts w:eastAsia="仿宋_GB2312"/>
                <w:color w:val="000000"/>
                <w:szCs w:val="21"/>
              </w:rPr>
              <w:t>（药屑杂质）</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广元市食品药品检验检测中心</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14</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甘松</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成都市都江堰春盛中药饮片股份有限公司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170301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四川一心堂医药连锁有限公司利州区蜀门南路药店</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性状</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检查</w:t>
            </w:r>
            <w:r w:rsidRPr="00727F07">
              <w:rPr>
                <w:rFonts w:eastAsia="仿宋_GB2312"/>
                <w:color w:val="000000"/>
                <w:szCs w:val="21"/>
              </w:rPr>
              <w:t>]</w:t>
            </w:r>
            <w:r w:rsidRPr="00727F07">
              <w:rPr>
                <w:rFonts w:eastAsia="仿宋_GB2312"/>
                <w:color w:val="000000"/>
                <w:szCs w:val="21"/>
              </w:rPr>
              <w:t>（药屑杂质）</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广元市食品药品检验检测中心</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15</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仙茅</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江西樟树成方中药饮片有限公司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19060101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广元市利州区中西医结合医院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含量测定</w:t>
            </w:r>
            <w:r w:rsidRPr="00727F07">
              <w:rPr>
                <w:rFonts w:eastAsia="仿宋_GB2312"/>
                <w:color w:val="000000"/>
                <w:szCs w:val="21"/>
              </w:rPr>
              <w:t>]</w:t>
            </w:r>
            <w:r w:rsidRPr="00727F07">
              <w:rPr>
                <w:rFonts w:eastAsia="仿宋_GB2312"/>
                <w:color w:val="000000"/>
                <w:szCs w:val="21"/>
              </w:rPr>
              <w:t>（仙茅苷）</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广元市食品药品检验检测中心</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lastRenderedPageBreak/>
              <w:t>16</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仙茅</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江西樟树成方中药饮片有限公司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19040101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四川鹭燕星火药业有限公司</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含量测定</w:t>
            </w:r>
            <w:r w:rsidRPr="00727F07">
              <w:rPr>
                <w:rFonts w:eastAsia="仿宋_GB2312"/>
                <w:color w:val="000000"/>
                <w:szCs w:val="21"/>
              </w:rPr>
              <w:t>]</w:t>
            </w:r>
            <w:r w:rsidRPr="00727F07">
              <w:rPr>
                <w:rFonts w:eastAsia="仿宋_GB2312"/>
                <w:color w:val="000000"/>
                <w:szCs w:val="21"/>
              </w:rPr>
              <w:t>（仙茅苷）</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广元市食品药品检验检测中心</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17</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野菊花</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成都鹤祥天药业有限公司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180101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剑阁县鹤龄镇王祖松中医诊所</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含量测定</w:t>
            </w:r>
            <w:r w:rsidRPr="00727F07">
              <w:rPr>
                <w:rFonts w:eastAsia="仿宋_GB2312"/>
                <w:color w:val="000000"/>
                <w:szCs w:val="21"/>
              </w:rPr>
              <w:t>]</w:t>
            </w:r>
            <w:r w:rsidRPr="00727F07">
              <w:rPr>
                <w:rFonts w:eastAsia="仿宋_GB2312"/>
                <w:color w:val="000000"/>
                <w:szCs w:val="21"/>
              </w:rPr>
              <w:t>（蒙花苷）</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广元市食品药品检验检测中心</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18</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檀香</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四川固康药业有限责任公司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181001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苍溪县双河乡卫生院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含量测定</w:t>
            </w:r>
            <w:r w:rsidRPr="00727F07">
              <w:rPr>
                <w:rFonts w:eastAsia="仿宋_GB2312"/>
                <w:color w:val="000000"/>
                <w:szCs w:val="21"/>
              </w:rPr>
              <w:t>]</w:t>
            </w:r>
            <w:r w:rsidRPr="00727F07">
              <w:rPr>
                <w:rFonts w:eastAsia="仿宋_GB2312"/>
                <w:color w:val="000000"/>
                <w:szCs w:val="21"/>
              </w:rPr>
              <w:t>（挥发油）</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广元市食品药品检验检测中心</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19</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檀香</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四川五芝中药饮片有限公司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171201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苍溪县龙山镇中心卫生院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含量测定</w:t>
            </w:r>
            <w:r w:rsidRPr="00727F07">
              <w:rPr>
                <w:rFonts w:eastAsia="仿宋_GB2312"/>
                <w:color w:val="000000"/>
                <w:szCs w:val="21"/>
              </w:rPr>
              <w:t>]</w:t>
            </w:r>
            <w:r w:rsidRPr="00727F07">
              <w:rPr>
                <w:rFonts w:eastAsia="仿宋_GB2312"/>
                <w:color w:val="000000"/>
                <w:szCs w:val="21"/>
              </w:rPr>
              <w:t>（挥发油）</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广元市食品药品检验检测中心</w:t>
            </w:r>
          </w:p>
        </w:tc>
      </w:tr>
      <w:tr w:rsidR="00A777F8" w:rsidRPr="00727F07" w:rsidTr="005F021F">
        <w:trPr>
          <w:trHeight w:val="1404"/>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20</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茜草</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四川皓博药业有限公司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130201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广元市利州区龙潭乡卫生院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2010</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性状</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检查</w:t>
            </w:r>
            <w:r w:rsidRPr="00727F07">
              <w:rPr>
                <w:rFonts w:eastAsia="仿宋_GB2312"/>
                <w:color w:val="000000"/>
                <w:szCs w:val="21"/>
              </w:rPr>
              <w:t>]</w:t>
            </w:r>
            <w:r w:rsidRPr="00727F07">
              <w:rPr>
                <w:rFonts w:eastAsia="仿宋_GB2312"/>
                <w:color w:val="000000"/>
                <w:szCs w:val="21"/>
              </w:rPr>
              <w:t>（水分）、</w:t>
            </w:r>
            <w:r w:rsidRPr="00727F07">
              <w:rPr>
                <w:rFonts w:eastAsia="仿宋_GB2312"/>
                <w:color w:val="000000"/>
                <w:szCs w:val="21"/>
              </w:rPr>
              <w:t>[</w:t>
            </w:r>
            <w:r w:rsidRPr="00727F07">
              <w:rPr>
                <w:rFonts w:eastAsia="仿宋_GB2312"/>
                <w:color w:val="000000"/>
                <w:szCs w:val="21"/>
              </w:rPr>
              <w:t>浸出物</w:t>
            </w:r>
            <w:r w:rsidRPr="00727F07">
              <w:rPr>
                <w:rFonts w:eastAsia="仿宋_GB2312"/>
                <w:color w:val="000000"/>
                <w:szCs w:val="21"/>
              </w:rPr>
              <w:t>]</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广元市食品药品检验检测中心</w:t>
            </w:r>
          </w:p>
        </w:tc>
      </w:tr>
      <w:tr w:rsidR="00A777F8" w:rsidRPr="00727F07" w:rsidTr="005F021F">
        <w:trPr>
          <w:trHeight w:val="1323"/>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21</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地龙</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成都吉安康药业有限公司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190102</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兴文雄品中医医院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性状</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w:t>
            </w:r>
            <w:r w:rsidRPr="00727F07">
              <w:rPr>
                <w:rFonts w:eastAsia="仿宋_GB2312"/>
                <w:color w:val="000000"/>
                <w:szCs w:val="21"/>
              </w:rPr>
              <w:t>检查</w:t>
            </w:r>
            <w:r w:rsidRPr="00727F07">
              <w:rPr>
                <w:rFonts w:eastAsia="仿宋_GB2312"/>
                <w:color w:val="000000"/>
                <w:szCs w:val="21"/>
              </w:rPr>
              <w:t>][</w:t>
            </w:r>
            <w:r w:rsidRPr="00727F07">
              <w:rPr>
                <w:rFonts w:eastAsia="仿宋_GB2312"/>
                <w:color w:val="000000"/>
                <w:szCs w:val="21"/>
              </w:rPr>
              <w:t>（总灰分）、（酸不溶性灰分）</w:t>
            </w:r>
            <w:r w:rsidRPr="00727F07">
              <w:rPr>
                <w:rFonts w:eastAsia="仿宋_GB2312"/>
                <w:color w:val="000000"/>
                <w:szCs w:val="21"/>
              </w:rPr>
              <w:t>]</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宜宾市食品药品检验检测中心</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22</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海风藤</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江西彭氏国药堂饮片有限公司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18080903</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义刚诊所</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《中国药典》</w:t>
            </w:r>
            <w:r w:rsidRPr="00727F07">
              <w:rPr>
                <w:rFonts w:eastAsia="仿宋_GB2312"/>
                <w:szCs w:val="21"/>
              </w:rPr>
              <w:t>2015</w:t>
            </w:r>
            <w:r w:rsidRPr="00727F07">
              <w:rPr>
                <w:rFonts w:eastAsia="仿宋_GB2312"/>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w:t>
            </w:r>
            <w:r w:rsidRPr="00727F07">
              <w:rPr>
                <w:rFonts w:eastAsia="仿宋_GB2312"/>
                <w:szCs w:val="21"/>
              </w:rPr>
              <w:t>性状</w:t>
            </w:r>
            <w:r w:rsidRPr="00727F07">
              <w:rPr>
                <w:rFonts w:eastAsia="仿宋_GB2312"/>
                <w:szCs w:val="21"/>
              </w:rPr>
              <w:t>]</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遂宁市食品药品检验所</w:t>
            </w:r>
          </w:p>
        </w:tc>
      </w:tr>
      <w:tr w:rsidR="00A777F8" w:rsidRPr="00727F07" w:rsidTr="005F021F">
        <w:trPr>
          <w:trHeight w:val="1692"/>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lastRenderedPageBreak/>
              <w:t>23</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骨碎补</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成都鹤祥天药业有限公司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170401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遂宁市安居区磨溪镇卫生院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《中国药典》</w:t>
            </w:r>
            <w:r w:rsidRPr="00727F07">
              <w:rPr>
                <w:rFonts w:eastAsia="仿宋_GB2312"/>
                <w:szCs w:val="21"/>
              </w:rPr>
              <w:t>2015</w:t>
            </w:r>
            <w:r w:rsidRPr="00727F07">
              <w:rPr>
                <w:rFonts w:eastAsia="仿宋_GB2312"/>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w:t>
            </w:r>
            <w:r w:rsidRPr="00727F07">
              <w:rPr>
                <w:rFonts w:eastAsia="仿宋_GB2312"/>
                <w:szCs w:val="21"/>
              </w:rPr>
              <w:t>性状</w:t>
            </w:r>
            <w:r w:rsidRPr="00727F07">
              <w:rPr>
                <w:rFonts w:eastAsia="仿宋_GB2312"/>
                <w:szCs w:val="21"/>
              </w:rPr>
              <w:t>]</w:t>
            </w:r>
            <w:r w:rsidRPr="00727F07">
              <w:rPr>
                <w:rFonts w:eastAsia="仿宋_GB2312"/>
                <w:szCs w:val="21"/>
              </w:rPr>
              <w:t>、</w:t>
            </w:r>
            <w:r w:rsidRPr="00727F07">
              <w:rPr>
                <w:rFonts w:eastAsia="仿宋_GB2312"/>
                <w:szCs w:val="21"/>
              </w:rPr>
              <w:t>[</w:t>
            </w:r>
            <w:r w:rsidRPr="00727F07">
              <w:rPr>
                <w:rFonts w:eastAsia="仿宋_GB2312"/>
                <w:szCs w:val="21"/>
              </w:rPr>
              <w:t>鉴别</w:t>
            </w:r>
            <w:r w:rsidRPr="00727F07">
              <w:rPr>
                <w:rFonts w:eastAsia="仿宋_GB2312"/>
                <w:szCs w:val="21"/>
              </w:rPr>
              <w:t>][</w:t>
            </w:r>
            <w:r w:rsidRPr="00727F07">
              <w:rPr>
                <w:rFonts w:eastAsia="仿宋_GB2312"/>
                <w:szCs w:val="21"/>
              </w:rPr>
              <w:t>（</w:t>
            </w:r>
            <w:r w:rsidRPr="00727F07">
              <w:rPr>
                <w:rFonts w:eastAsia="仿宋_GB2312"/>
                <w:szCs w:val="21"/>
              </w:rPr>
              <w:t>2</w:t>
            </w:r>
            <w:r w:rsidRPr="00727F07">
              <w:rPr>
                <w:rFonts w:eastAsia="仿宋_GB2312"/>
                <w:szCs w:val="21"/>
              </w:rPr>
              <w:t>）薄层色谱</w:t>
            </w:r>
            <w:r w:rsidRPr="00727F07">
              <w:rPr>
                <w:rFonts w:eastAsia="仿宋_GB2312"/>
                <w:szCs w:val="21"/>
              </w:rPr>
              <w:t>]</w:t>
            </w:r>
            <w:r w:rsidRPr="00727F07">
              <w:rPr>
                <w:rFonts w:eastAsia="仿宋_GB2312"/>
                <w:szCs w:val="21"/>
              </w:rPr>
              <w:t>、</w:t>
            </w:r>
            <w:r w:rsidRPr="00727F07">
              <w:rPr>
                <w:rFonts w:eastAsia="仿宋_GB2312"/>
                <w:szCs w:val="21"/>
              </w:rPr>
              <w:t>[</w:t>
            </w:r>
            <w:r w:rsidRPr="00727F07">
              <w:rPr>
                <w:rFonts w:eastAsia="仿宋_GB2312"/>
                <w:szCs w:val="21"/>
              </w:rPr>
              <w:t>含量测定</w:t>
            </w:r>
            <w:r w:rsidRPr="00727F07">
              <w:rPr>
                <w:rFonts w:eastAsia="仿宋_GB2312"/>
                <w:szCs w:val="21"/>
              </w:rPr>
              <w:t>]</w:t>
            </w:r>
            <w:r w:rsidRPr="00727F07">
              <w:rPr>
                <w:rFonts w:eastAsia="仿宋_GB2312"/>
                <w:szCs w:val="21"/>
              </w:rPr>
              <w:t>（柚皮苷）</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遂宁市食品药品检验所</w:t>
            </w:r>
          </w:p>
        </w:tc>
      </w:tr>
      <w:tr w:rsidR="00A777F8" w:rsidRPr="00727F07" w:rsidTr="005F021F">
        <w:trPr>
          <w:trHeight w:val="1693"/>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24</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骨碎补</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四川千金方中药饮片有限公司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140301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遂宁市安居区白马镇白果树村卫生室</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《中国药典》</w:t>
            </w:r>
            <w:r w:rsidRPr="00727F07">
              <w:rPr>
                <w:rFonts w:eastAsia="仿宋_GB2312"/>
                <w:szCs w:val="21"/>
              </w:rPr>
              <w:t>2010</w:t>
            </w:r>
            <w:r w:rsidRPr="00727F07">
              <w:rPr>
                <w:rFonts w:eastAsia="仿宋_GB2312"/>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w:t>
            </w:r>
            <w:r w:rsidRPr="00727F07">
              <w:rPr>
                <w:rFonts w:eastAsia="仿宋_GB2312"/>
                <w:szCs w:val="21"/>
              </w:rPr>
              <w:t>性状</w:t>
            </w:r>
            <w:r w:rsidRPr="00727F07">
              <w:rPr>
                <w:rFonts w:eastAsia="仿宋_GB2312"/>
                <w:szCs w:val="21"/>
              </w:rPr>
              <w:t>]</w:t>
            </w:r>
            <w:r w:rsidRPr="00727F07">
              <w:rPr>
                <w:rFonts w:eastAsia="仿宋_GB2312"/>
                <w:szCs w:val="21"/>
              </w:rPr>
              <w:t>、</w:t>
            </w:r>
            <w:r w:rsidRPr="00727F07">
              <w:rPr>
                <w:rFonts w:eastAsia="仿宋_GB2312"/>
                <w:szCs w:val="21"/>
              </w:rPr>
              <w:t>[</w:t>
            </w:r>
            <w:r w:rsidRPr="00727F07">
              <w:rPr>
                <w:rFonts w:eastAsia="仿宋_GB2312"/>
                <w:szCs w:val="21"/>
              </w:rPr>
              <w:t>鉴别</w:t>
            </w:r>
            <w:r w:rsidRPr="00727F07">
              <w:rPr>
                <w:rFonts w:eastAsia="仿宋_GB2312"/>
                <w:szCs w:val="21"/>
              </w:rPr>
              <w:t>][</w:t>
            </w:r>
            <w:r w:rsidRPr="00727F07">
              <w:rPr>
                <w:rFonts w:eastAsia="仿宋_GB2312"/>
                <w:szCs w:val="21"/>
              </w:rPr>
              <w:t>（</w:t>
            </w:r>
            <w:r w:rsidRPr="00727F07">
              <w:rPr>
                <w:rFonts w:eastAsia="仿宋_GB2312"/>
                <w:szCs w:val="21"/>
              </w:rPr>
              <w:t>2</w:t>
            </w:r>
            <w:r w:rsidRPr="00727F07">
              <w:rPr>
                <w:rFonts w:eastAsia="仿宋_GB2312"/>
                <w:szCs w:val="21"/>
              </w:rPr>
              <w:t>）薄层色谱</w:t>
            </w:r>
            <w:r w:rsidRPr="00727F07">
              <w:rPr>
                <w:rFonts w:eastAsia="仿宋_GB2312"/>
                <w:szCs w:val="21"/>
              </w:rPr>
              <w:t>]</w:t>
            </w:r>
            <w:r w:rsidRPr="00727F07">
              <w:rPr>
                <w:rFonts w:eastAsia="仿宋_GB2312"/>
                <w:szCs w:val="21"/>
              </w:rPr>
              <w:t>、</w:t>
            </w:r>
            <w:r w:rsidRPr="00727F07">
              <w:rPr>
                <w:rFonts w:eastAsia="仿宋_GB2312"/>
                <w:szCs w:val="21"/>
              </w:rPr>
              <w:t>[</w:t>
            </w:r>
            <w:r w:rsidRPr="00727F07">
              <w:rPr>
                <w:rFonts w:eastAsia="仿宋_GB2312"/>
                <w:szCs w:val="21"/>
              </w:rPr>
              <w:t>含量测定</w:t>
            </w:r>
            <w:r w:rsidRPr="00727F07">
              <w:rPr>
                <w:rFonts w:eastAsia="仿宋_GB2312"/>
                <w:szCs w:val="21"/>
              </w:rPr>
              <w:t>]</w:t>
            </w:r>
            <w:r w:rsidRPr="00727F07">
              <w:rPr>
                <w:rFonts w:eastAsia="仿宋_GB2312"/>
                <w:szCs w:val="21"/>
              </w:rPr>
              <w:t>（柚皮苷）</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遂宁市食品药品检验所</w:t>
            </w:r>
          </w:p>
        </w:tc>
      </w:tr>
      <w:tr w:rsidR="00A777F8" w:rsidRPr="00727F07" w:rsidTr="005F021F">
        <w:trPr>
          <w:trHeight w:val="108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25</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重楼</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四川圣上大健康药业有限公司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160301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遂宁市安居区西眉镇中心卫生院</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《中国药典》</w:t>
            </w:r>
            <w:r w:rsidRPr="00727F07">
              <w:rPr>
                <w:rFonts w:eastAsia="仿宋_GB2312"/>
                <w:szCs w:val="21"/>
              </w:rPr>
              <w:t>2015</w:t>
            </w:r>
            <w:r w:rsidRPr="00727F07">
              <w:rPr>
                <w:rFonts w:eastAsia="仿宋_GB2312"/>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w:t>
            </w:r>
            <w:r w:rsidRPr="00727F07">
              <w:rPr>
                <w:rFonts w:eastAsia="仿宋_GB2312"/>
                <w:szCs w:val="21"/>
              </w:rPr>
              <w:t>性状</w:t>
            </w:r>
            <w:r w:rsidRPr="00727F07">
              <w:rPr>
                <w:rFonts w:eastAsia="仿宋_GB2312"/>
                <w:szCs w:val="21"/>
              </w:rPr>
              <w:t>]</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szCs w:val="21"/>
              </w:rPr>
            </w:pPr>
            <w:r w:rsidRPr="00727F07">
              <w:rPr>
                <w:rFonts w:eastAsia="仿宋_GB2312"/>
                <w:szCs w:val="21"/>
              </w:rPr>
              <w:t>遂宁市食品药品检验所</w:t>
            </w:r>
          </w:p>
        </w:tc>
      </w:tr>
      <w:tr w:rsidR="00A777F8" w:rsidRPr="00727F07" w:rsidTr="005F021F">
        <w:trPr>
          <w:trHeight w:val="2569"/>
          <w:jc w:val="center"/>
        </w:trPr>
        <w:tc>
          <w:tcPr>
            <w:tcW w:w="65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26</w:t>
            </w:r>
          </w:p>
        </w:tc>
        <w:tc>
          <w:tcPr>
            <w:tcW w:w="129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重楼</w:t>
            </w:r>
          </w:p>
        </w:tc>
        <w:tc>
          <w:tcPr>
            <w:tcW w:w="1843"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四川翼方中药饮片有限公司</w:t>
            </w:r>
          </w:p>
        </w:tc>
        <w:tc>
          <w:tcPr>
            <w:tcW w:w="992"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中药饮片</w:t>
            </w:r>
          </w:p>
        </w:tc>
        <w:tc>
          <w:tcPr>
            <w:tcW w:w="1134"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190401</w:t>
            </w:r>
          </w:p>
        </w:tc>
        <w:tc>
          <w:tcPr>
            <w:tcW w:w="1985"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宜宾市翠屏区同顺堂大药房</w:t>
            </w:r>
          </w:p>
        </w:tc>
        <w:tc>
          <w:tcPr>
            <w:tcW w:w="2268"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《中国药典》</w:t>
            </w:r>
            <w:r w:rsidRPr="00727F07">
              <w:rPr>
                <w:rFonts w:eastAsia="仿宋_GB2312"/>
                <w:color w:val="000000"/>
                <w:szCs w:val="21"/>
              </w:rPr>
              <w:t>2015</w:t>
            </w:r>
            <w:r w:rsidRPr="00727F07">
              <w:rPr>
                <w:rFonts w:eastAsia="仿宋_GB2312"/>
                <w:color w:val="000000"/>
                <w:szCs w:val="21"/>
              </w:rPr>
              <w:t>年版一部</w:t>
            </w:r>
          </w:p>
        </w:tc>
        <w:tc>
          <w:tcPr>
            <w:tcW w:w="990"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不合格</w:t>
            </w:r>
          </w:p>
        </w:tc>
        <w:tc>
          <w:tcPr>
            <w:tcW w:w="1419"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w:t>
            </w:r>
            <w:r w:rsidRPr="00727F07">
              <w:rPr>
                <w:rFonts w:eastAsia="仿宋_GB2312"/>
                <w:color w:val="000000"/>
                <w:szCs w:val="21"/>
              </w:rPr>
              <w:t>检查</w:t>
            </w:r>
            <w:r w:rsidRPr="00727F07">
              <w:rPr>
                <w:rFonts w:eastAsia="仿宋_GB2312"/>
                <w:color w:val="000000"/>
                <w:szCs w:val="21"/>
              </w:rPr>
              <w:t>]</w:t>
            </w:r>
            <w:r w:rsidRPr="00727F07">
              <w:rPr>
                <w:rFonts w:eastAsia="仿宋_GB2312"/>
                <w:color w:val="000000"/>
                <w:szCs w:val="21"/>
              </w:rPr>
              <w:t>（水分）、</w:t>
            </w:r>
            <w:r w:rsidRPr="00727F07">
              <w:rPr>
                <w:rFonts w:eastAsia="仿宋_GB2312"/>
                <w:color w:val="000000"/>
                <w:szCs w:val="21"/>
              </w:rPr>
              <w:t>[</w:t>
            </w:r>
            <w:r w:rsidRPr="00727F07">
              <w:rPr>
                <w:rFonts w:eastAsia="仿宋_GB2312"/>
                <w:color w:val="000000"/>
                <w:szCs w:val="21"/>
              </w:rPr>
              <w:t>含量测定</w:t>
            </w:r>
            <w:r w:rsidRPr="00727F07">
              <w:rPr>
                <w:rFonts w:eastAsia="仿宋_GB2312"/>
                <w:color w:val="000000"/>
                <w:szCs w:val="21"/>
              </w:rPr>
              <w:t>]</w:t>
            </w:r>
            <w:r w:rsidRPr="00727F07">
              <w:rPr>
                <w:rFonts w:eastAsia="仿宋_GB2312"/>
                <w:color w:val="000000"/>
                <w:szCs w:val="21"/>
              </w:rPr>
              <w:t>（重楼皂苷</w:t>
            </w:r>
            <w:r w:rsidRPr="00727F07">
              <w:rPr>
                <w:rFonts w:eastAsia="仿宋_GB2312"/>
                <w:color w:val="000000"/>
                <w:szCs w:val="21"/>
              </w:rPr>
              <w:t>I</w:t>
            </w:r>
            <w:r w:rsidRPr="00727F07">
              <w:rPr>
                <w:rFonts w:eastAsia="仿宋_GB2312"/>
                <w:color w:val="000000"/>
                <w:szCs w:val="21"/>
              </w:rPr>
              <w:t>、重楼皂苷</w:t>
            </w:r>
            <w:r w:rsidRPr="00727F07">
              <w:rPr>
                <w:rFonts w:eastAsia="仿宋_GB2312"/>
                <w:color w:val="000000"/>
                <w:szCs w:val="21"/>
              </w:rPr>
              <w:t>II</w:t>
            </w:r>
            <w:r w:rsidRPr="00727F07">
              <w:rPr>
                <w:rFonts w:eastAsia="仿宋_GB2312"/>
                <w:color w:val="000000"/>
                <w:szCs w:val="21"/>
              </w:rPr>
              <w:t>、重楼皂苷</w:t>
            </w:r>
            <w:r w:rsidRPr="00727F07">
              <w:rPr>
                <w:rFonts w:eastAsia="仿宋_GB2312"/>
                <w:color w:val="000000"/>
                <w:szCs w:val="21"/>
              </w:rPr>
              <w:t>VI</w:t>
            </w:r>
            <w:r w:rsidRPr="00727F07">
              <w:rPr>
                <w:rFonts w:eastAsia="仿宋_GB2312"/>
                <w:color w:val="000000"/>
                <w:szCs w:val="21"/>
              </w:rPr>
              <w:t>和重楼皂苷</w:t>
            </w:r>
            <w:r w:rsidRPr="00727F07">
              <w:rPr>
                <w:rFonts w:eastAsia="仿宋_GB2312"/>
                <w:color w:val="000000"/>
                <w:szCs w:val="21"/>
              </w:rPr>
              <w:t>VII</w:t>
            </w:r>
            <w:r w:rsidRPr="00727F07">
              <w:rPr>
                <w:rFonts w:eastAsia="仿宋_GB2312"/>
                <w:color w:val="000000"/>
                <w:szCs w:val="21"/>
              </w:rPr>
              <w:t>的总量）</w:t>
            </w:r>
          </w:p>
        </w:tc>
        <w:tc>
          <w:tcPr>
            <w:tcW w:w="1701" w:type="dxa"/>
            <w:shd w:val="clear" w:color="000000" w:fill="FFFFFF"/>
            <w:vAlign w:val="center"/>
            <w:hideMark/>
          </w:tcPr>
          <w:p w:rsidR="00A777F8" w:rsidRPr="00727F07" w:rsidRDefault="00A777F8" w:rsidP="005F021F">
            <w:pPr>
              <w:spacing w:line="300" w:lineRule="exact"/>
              <w:jc w:val="center"/>
              <w:rPr>
                <w:rFonts w:eastAsia="仿宋_GB2312"/>
                <w:color w:val="000000"/>
                <w:szCs w:val="21"/>
              </w:rPr>
            </w:pPr>
            <w:r w:rsidRPr="00727F07">
              <w:rPr>
                <w:rFonts w:eastAsia="仿宋_GB2312"/>
                <w:color w:val="000000"/>
                <w:szCs w:val="21"/>
              </w:rPr>
              <w:t>宜宾市食品药品检验检测中心</w:t>
            </w:r>
          </w:p>
        </w:tc>
      </w:tr>
    </w:tbl>
    <w:p w:rsidR="004A5D52" w:rsidRPr="00A777F8" w:rsidRDefault="004A5D52"/>
    <w:sectPr w:rsidR="004A5D52" w:rsidRPr="00A777F8" w:rsidSect="00A777F8">
      <w:pgSz w:w="16838" w:h="11906" w:orient="landscape"/>
      <w:pgMar w:top="1531" w:right="1701" w:bottom="1531" w:left="1701"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AE4" w:rsidRDefault="00735AE4" w:rsidP="00A777F8">
      <w:r>
        <w:separator/>
      </w:r>
    </w:p>
  </w:endnote>
  <w:endnote w:type="continuationSeparator" w:id="0">
    <w:p w:rsidR="00735AE4" w:rsidRDefault="00735AE4" w:rsidP="00A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AE4" w:rsidRDefault="00735AE4" w:rsidP="00A777F8">
      <w:r>
        <w:separator/>
      </w:r>
    </w:p>
  </w:footnote>
  <w:footnote w:type="continuationSeparator" w:id="0">
    <w:p w:rsidR="00735AE4" w:rsidRDefault="00735AE4" w:rsidP="00A77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B2"/>
    <w:rsid w:val="00001CEF"/>
    <w:rsid w:val="0001009F"/>
    <w:rsid w:val="00020AE2"/>
    <w:rsid w:val="000212A7"/>
    <w:rsid w:val="00022C99"/>
    <w:rsid w:val="000453C2"/>
    <w:rsid w:val="000528FB"/>
    <w:rsid w:val="00061516"/>
    <w:rsid w:val="00065F05"/>
    <w:rsid w:val="00067D44"/>
    <w:rsid w:val="000843CB"/>
    <w:rsid w:val="0008483A"/>
    <w:rsid w:val="000954D7"/>
    <w:rsid w:val="00097836"/>
    <w:rsid w:val="000A7172"/>
    <w:rsid w:val="000B2842"/>
    <w:rsid w:val="000B730E"/>
    <w:rsid w:val="000C3706"/>
    <w:rsid w:val="000C3D4F"/>
    <w:rsid w:val="000C741B"/>
    <w:rsid w:val="000D5DB2"/>
    <w:rsid w:val="000D619C"/>
    <w:rsid w:val="000F2784"/>
    <w:rsid w:val="00101C98"/>
    <w:rsid w:val="00102087"/>
    <w:rsid w:val="00123E55"/>
    <w:rsid w:val="00130FFB"/>
    <w:rsid w:val="001353EA"/>
    <w:rsid w:val="0014730C"/>
    <w:rsid w:val="00152141"/>
    <w:rsid w:val="00155695"/>
    <w:rsid w:val="00155F61"/>
    <w:rsid w:val="00156BB7"/>
    <w:rsid w:val="001576E9"/>
    <w:rsid w:val="00174BC2"/>
    <w:rsid w:val="0018138F"/>
    <w:rsid w:val="0018256E"/>
    <w:rsid w:val="001A3B8B"/>
    <w:rsid w:val="001A4E39"/>
    <w:rsid w:val="001B0525"/>
    <w:rsid w:val="001B1BB7"/>
    <w:rsid w:val="001B68C8"/>
    <w:rsid w:val="001C12C7"/>
    <w:rsid w:val="001E625F"/>
    <w:rsid w:val="001F691E"/>
    <w:rsid w:val="00200616"/>
    <w:rsid w:val="002016E8"/>
    <w:rsid w:val="00204E9A"/>
    <w:rsid w:val="00213345"/>
    <w:rsid w:val="00227994"/>
    <w:rsid w:val="00232972"/>
    <w:rsid w:val="00234660"/>
    <w:rsid w:val="00242E54"/>
    <w:rsid w:val="00243B35"/>
    <w:rsid w:val="00247C57"/>
    <w:rsid w:val="00260043"/>
    <w:rsid w:val="00290759"/>
    <w:rsid w:val="002A0D4C"/>
    <w:rsid w:val="002B02A6"/>
    <w:rsid w:val="002B5BC4"/>
    <w:rsid w:val="002C7044"/>
    <w:rsid w:val="002D0603"/>
    <w:rsid w:val="002D2D4D"/>
    <w:rsid w:val="002D6975"/>
    <w:rsid w:val="002E6030"/>
    <w:rsid w:val="0031230E"/>
    <w:rsid w:val="00326935"/>
    <w:rsid w:val="00326F1A"/>
    <w:rsid w:val="003316C4"/>
    <w:rsid w:val="0033336E"/>
    <w:rsid w:val="00334A99"/>
    <w:rsid w:val="00346E9F"/>
    <w:rsid w:val="003555A5"/>
    <w:rsid w:val="00356A7C"/>
    <w:rsid w:val="00367185"/>
    <w:rsid w:val="00367DD4"/>
    <w:rsid w:val="003717CF"/>
    <w:rsid w:val="003724A8"/>
    <w:rsid w:val="003737CF"/>
    <w:rsid w:val="00375104"/>
    <w:rsid w:val="00375F15"/>
    <w:rsid w:val="003909FB"/>
    <w:rsid w:val="00394ED1"/>
    <w:rsid w:val="003A48B2"/>
    <w:rsid w:val="003A71DF"/>
    <w:rsid w:val="003B2D93"/>
    <w:rsid w:val="003B41EC"/>
    <w:rsid w:val="003B70CB"/>
    <w:rsid w:val="003D4DE8"/>
    <w:rsid w:val="003E20D1"/>
    <w:rsid w:val="003E72BF"/>
    <w:rsid w:val="003F4D69"/>
    <w:rsid w:val="00402291"/>
    <w:rsid w:val="00422395"/>
    <w:rsid w:val="0042756A"/>
    <w:rsid w:val="00432D9A"/>
    <w:rsid w:val="00433864"/>
    <w:rsid w:val="00440155"/>
    <w:rsid w:val="0045070E"/>
    <w:rsid w:val="00451134"/>
    <w:rsid w:val="00467D91"/>
    <w:rsid w:val="0047533D"/>
    <w:rsid w:val="00481D70"/>
    <w:rsid w:val="00481F3D"/>
    <w:rsid w:val="00485602"/>
    <w:rsid w:val="004A5D52"/>
    <w:rsid w:val="004D27EA"/>
    <w:rsid w:val="004D6500"/>
    <w:rsid w:val="004D72A9"/>
    <w:rsid w:val="004D764B"/>
    <w:rsid w:val="004E4CCA"/>
    <w:rsid w:val="004F2E0B"/>
    <w:rsid w:val="00502547"/>
    <w:rsid w:val="005042AA"/>
    <w:rsid w:val="0050480D"/>
    <w:rsid w:val="00506CB7"/>
    <w:rsid w:val="00507723"/>
    <w:rsid w:val="00534C41"/>
    <w:rsid w:val="0053760F"/>
    <w:rsid w:val="00537FBD"/>
    <w:rsid w:val="005445F5"/>
    <w:rsid w:val="005455B1"/>
    <w:rsid w:val="00552DF2"/>
    <w:rsid w:val="00556758"/>
    <w:rsid w:val="00556D60"/>
    <w:rsid w:val="005602E4"/>
    <w:rsid w:val="00566EA6"/>
    <w:rsid w:val="0056708C"/>
    <w:rsid w:val="005764D3"/>
    <w:rsid w:val="00581CDA"/>
    <w:rsid w:val="00590393"/>
    <w:rsid w:val="00595D52"/>
    <w:rsid w:val="005A083F"/>
    <w:rsid w:val="005A4135"/>
    <w:rsid w:val="005A5D9A"/>
    <w:rsid w:val="005B1E6A"/>
    <w:rsid w:val="005B57B7"/>
    <w:rsid w:val="005B7AE0"/>
    <w:rsid w:val="005D4941"/>
    <w:rsid w:val="005E0223"/>
    <w:rsid w:val="005E380F"/>
    <w:rsid w:val="0060381F"/>
    <w:rsid w:val="006213BE"/>
    <w:rsid w:val="0062245A"/>
    <w:rsid w:val="00631A62"/>
    <w:rsid w:val="006373D1"/>
    <w:rsid w:val="00637A6A"/>
    <w:rsid w:val="006456AA"/>
    <w:rsid w:val="00654596"/>
    <w:rsid w:val="006622B9"/>
    <w:rsid w:val="00672CC5"/>
    <w:rsid w:val="006867B3"/>
    <w:rsid w:val="006905B4"/>
    <w:rsid w:val="00691BFB"/>
    <w:rsid w:val="0069788C"/>
    <w:rsid w:val="006A06B9"/>
    <w:rsid w:val="006A0F6C"/>
    <w:rsid w:val="006A1C95"/>
    <w:rsid w:val="006A1F69"/>
    <w:rsid w:val="006A5275"/>
    <w:rsid w:val="006A5DE0"/>
    <w:rsid w:val="006B398B"/>
    <w:rsid w:val="006D0EBF"/>
    <w:rsid w:val="006D16AF"/>
    <w:rsid w:val="006D21F3"/>
    <w:rsid w:val="006D39FD"/>
    <w:rsid w:val="006E52EA"/>
    <w:rsid w:val="006E68EA"/>
    <w:rsid w:val="006E7BB4"/>
    <w:rsid w:val="006F1095"/>
    <w:rsid w:val="00702CE5"/>
    <w:rsid w:val="007143ED"/>
    <w:rsid w:val="007154FA"/>
    <w:rsid w:val="007253B9"/>
    <w:rsid w:val="00731B17"/>
    <w:rsid w:val="00735AE4"/>
    <w:rsid w:val="00737DEB"/>
    <w:rsid w:val="0074318A"/>
    <w:rsid w:val="007474DC"/>
    <w:rsid w:val="00747EA5"/>
    <w:rsid w:val="007570BC"/>
    <w:rsid w:val="0076657A"/>
    <w:rsid w:val="00766B8B"/>
    <w:rsid w:val="00767084"/>
    <w:rsid w:val="00770AD3"/>
    <w:rsid w:val="0077267B"/>
    <w:rsid w:val="00780DBB"/>
    <w:rsid w:val="007943B4"/>
    <w:rsid w:val="00795064"/>
    <w:rsid w:val="007A0323"/>
    <w:rsid w:val="007A1174"/>
    <w:rsid w:val="007A42F2"/>
    <w:rsid w:val="007B6F89"/>
    <w:rsid w:val="007D6D8E"/>
    <w:rsid w:val="007D7E6A"/>
    <w:rsid w:val="007E515C"/>
    <w:rsid w:val="007F2334"/>
    <w:rsid w:val="00805E9A"/>
    <w:rsid w:val="00815375"/>
    <w:rsid w:val="0081594B"/>
    <w:rsid w:val="00823A9D"/>
    <w:rsid w:val="00826070"/>
    <w:rsid w:val="0084756F"/>
    <w:rsid w:val="00854BCD"/>
    <w:rsid w:val="008551C1"/>
    <w:rsid w:val="008621EB"/>
    <w:rsid w:val="008736D7"/>
    <w:rsid w:val="00876C75"/>
    <w:rsid w:val="00877746"/>
    <w:rsid w:val="00877E34"/>
    <w:rsid w:val="00880DC3"/>
    <w:rsid w:val="00895978"/>
    <w:rsid w:val="008A12E7"/>
    <w:rsid w:val="008A6654"/>
    <w:rsid w:val="008A6928"/>
    <w:rsid w:val="008B7241"/>
    <w:rsid w:val="008E1343"/>
    <w:rsid w:val="008E1D04"/>
    <w:rsid w:val="008E38D9"/>
    <w:rsid w:val="008E3F3B"/>
    <w:rsid w:val="008F290A"/>
    <w:rsid w:val="008F4862"/>
    <w:rsid w:val="008F6205"/>
    <w:rsid w:val="0090174D"/>
    <w:rsid w:val="0091521F"/>
    <w:rsid w:val="009168F2"/>
    <w:rsid w:val="009171E4"/>
    <w:rsid w:val="009204BD"/>
    <w:rsid w:val="00924D19"/>
    <w:rsid w:val="0093663F"/>
    <w:rsid w:val="009428DB"/>
    <w:rsid w:val="00947359"/>
    <w:rsid w:val="009547ED"/>
    <w:rsid w:val="00957D4E"/>
    <w:rsid w:val="00977570"/>
    <w:rsid w:val="00980A13"/>
    <w:rsid w:val="00983673"/>
    <w:rsid w:val="00983F20"/>
    <w:rsid w:val="009973D3"/>
    <w:rsid w:val="009A4595"/>
    <w:rsid w:val="009C3C0F"/>
    <w:rsid w:val="009C3C96"/>
    <w:rsid w:val="009C41C1"/>
    <w:rsid w:val="009D5557"/>
    <w:rsid w:val="009D5612"/>
    <w:rsid w:val="009D71AC"/>
    <w:rsid w:val="009E12B0"/>
    <w:rsid w:val="009E32F2"/>
    <w:rsid w:val="009E3FC5"/>
    <w:rsid w:val="009E6508"/>
    <w:rsid w:val="009E70D1"/>
    <w:rsid w:val="00A14B5C"/>
    <w:rsid w:val="00A14EB7"/>
    <w:rsid w:val="00A2723D"/>
    <w:rsid w:val="00A31AAC"/>
    <w:rsid w:val="00A351EB"/>
    <w:rsid w:val="00A3591F"/>
    <w:rsid w:val="00A435B8"/>
    <w:rsid w:val="00A53EB5"/>
    <w:rsid w:val="00A57F6C"/>
    <w:rsid w:val="00A60416"/>
    <w:rsid w:val="00A61C4E"/>
    <w:rsid w:val="00A73F17"/>
    <w:rsid w:val="00A777F8"/>
    <w:rsid w:val="00A85A4F"/>
    <w:rsid w:val="00A96A7A"/>
    <w:rsid w:val="00AA16D0"/>
    <w:rsid w:val="00AA4ACF"/>
    <w:rsid w:val="00AA54B9"/>
    <w:rsid w:val="00AA5A84"/>
    <w:rsid w:val="00AB1C51"/>
    <w:rsid w:val="00AB265A"/>
    <w:rsid w:val="00AC37B2"/>
    <w:rsid w:val="00AD5C7E"/>
    <w:rsid w:val="00AE07D5"/>
    <w:rsid w:val="00AE763D"/>
    <w:rsid w:val="00AF3C4C"/>
    <w:rsid w:val="00AF56A7"/>
    <w:rsid w:val="00B07856"/>
    <w:rsid w:val="00B16402"/>
    <w:rsid w:val="00B166F5"/>
    <w:rsid w:val="00B2313C"/>
    <w:rsid w:val="00B25262"/>
    <w:rsid w:val="00B37D2A"/>
    <w:rsid w:val="00B47A99"/>
    <w:rsid w:val="00B47E52"/>
    <w:rsid w:val="00B60EC6"/>
    <w:rsid w:val="00B6513A"/>
    <w:rsid w:val="00B731A2"/>
    <w:rsid w:val="00B913CA"/>
    <w:rsid w:val="00B942C2"/>
    <w:rsid w:val="00B971A7"/>
    <w:rsid w:val="00BA28AC"/>
    <w:rsid w:val="00BA57AB"/>
    <w:rsid w:val="00BA7DF5"/>
    <w:rsid w:val="00BB2543"/>
    <w:rsid w:val="00BB70EF"/>
    <w:rsid w:val="00BC4E87"/>
    <w:rsid w:val="00BC545B"/>
    <w:rsid w:val="00BC7CD8"/>
    <w:rsid w:val="00BD03BA"/>
    <w:rsid w:val="00BD14A5"/>
    <w:rsid w:val="00BD34BC"/>
    <w:rsid w:val="00BD48F1"/>
    <w:rsid w:val="00BD4E53"/>
    <w:rsid w:val="00BF5D21"/>
    <w:rsid w:val="00C0133E"/>
    <w:rsid w:val="00C030B8"/>
    <w:rsid w:val="00C1245C"/>
    <w:rsid w:val="00C15C6E"/>
    <w:rsid w:val="00C16001"/>
    <w:rsid w:val="00C205F0"/>
    <w:rsid w:val="00C238C3"/>
    <w:rsid w:val="00C30159"/>
    <w:rsid w:val="00C32E65"/>
    <w:rsid w:val="00C345F2"/>
    <w:rsid w:val="00C43B0F"/>
    <w:rsid w:val="00C5487A"/>
    <w:rsid w:val="00C55A55"/>
    <w:rsid w:val="00C63CE0"/>
    <w:rsid w:val="00C75F42"/>
    <w:rsid w:val="00C83132"/>
    <w:rsid w:val="00C96659"/>
    <w:rsid w:val="00C96AD0"/>
    <w:rsid w:val="00CA2260"/>
    <w:rsid w:val="00CB21EE"/>
    <w:rsid w:val="00CB30D0"/>
    <w:rsid w:val="00CB748E"/>
    <w:rsid w:val="00CB7E59"/>
    <w:rsid w:val="00CC37B4"/>
    <w:rsid w:val="00CC5125"/>
    <w:rsid w:val="00CD1AD6"/>
    <w:rsid w:val="00CD3D79"/>
    <w:rsid w:val="00CD4D7F"/>
    <w:rsid w:val="00CD7141"/>
    <w:rsid w:val="00CE0FBF"/>
    <w:rsid w:val="00CF3C05"/>
    <w:rsid w:val="00D1523B"/>
    <w:rsid w:val="00D26A90"/>
    <w:rsid w:val="00D3261F"/>
    <w:rsid w:val="00D37F2D"/>
    <w:rsid w:val="00D43EC7"/>
    <w:rsid w:val="00D47B47"/>
    <w:rsid w:val="00D5555C"/>
    <w:rsid w:val="00D60E22"/>
    <w:rsid w:val="00D61A44"/>
    <w:rsid w:val="00D67008"/>
    <w:rsid w:val="00D73AFF"/>
    <w:rsid w:val="00D818FF"/>
    <w:rsid w:val="00D9400D"/>
    <w:rsid w:val="00DA2360"/>
    <w:rsid w:val="00DA569D"/>
    <w:rsid w:val="00DB0612"/>
    <w:rsid w:val="00DB6FD5"/>
    <w:rsid w:val="00DC336B"/>
    <w:rsid w:val="00DC473F"/>
    <w:rsid w:val="00DC7D95"/>
    <w:rsid w:val="00DD42B2"/>
    <w:rsid w:val="00DE3DCF"/>
    <w:rsid w:val="00DF2545"/>
    <w:rsid w:val="00DF56A2"/>
    <w:rsid w:val="00E07AE9"/>
    <w:rsid w:val="00E10AB7"/>
    <w:rsid w:val="00E20BAF"/>
    <w:rsid w:val="00E23681"/>
    <w:rsid w:val="00E25E77"/>
    <w:rsid w:val="00E3555B"/>
    <w:rsid w:val="00E35982"/>
    <w:rsid w:val="00E42B6B"/>
    <w:rsid w:val="00E47B33"/>
    <w:rsid w:val="00E50732"/>
    <w:rsid w:val="00E55F10"/>
    <w:rsid w:val="00E67998"/>
    <w:rsid w:val="00E71DBE"/>
    <w:rsid w:val="00E73265"/>
    <w:rsid w:val="00E75BEE"/>
    <w:rsid w:val="00E85C23"/>
    <w:rsid w:val="00E879AD"/>
    <w:rsid w:val="00E90BA5"/>
    <w:rsid w:val="00E90C70"/>
    <w:rsid w:val="00E91591"/>
    <w:rsid w:val="00E96B90"/>
    <w:rsid w:val="00EA2EBF"/>
    <w:rsid w:val="00EA451C"/>
    <w:rsid w:val="00EB3E31"/>
    <w:rsid w:val="00EB3F6D"/>
    <w:rsid w:val="00ED1888"/>
    <w:rsid w:val="00ED5914"/>
    <w:rsid w:val="00EE3EED"/>
    <w:rsid w:val="00EE7779"/>
    <w:rsid w:val="00EF19BB"/>
    <w:rsid w:val="00EF2A97"/>
    <w:rsid w:val="00EF6576"/>
    <w:rsid w:val="00F027BD"/>
    <w:rsid w:val="00F215D5"/>
    <w:rsid w:val="00F30B55"/>
    <w:rsid w:val="00F3366F"/>
    <w:rsid w:val="00F44C80"/>
    <w:rsid w:val="00F45605"/>
    <w:rsid w:val="00F520C3"/>
    <w:rsid w:val="00F560A5"/>
    <w:rsid w:val="00F634ED"/>
    <w:rsid w:val="00F851B8"/>
    <w:rsid w:val="00F9376A"/>
    <w:rsid w:val="00FA1CD6"/>
    <w:rsid w:val="00FA47CC"/>
    <w:rsid w:val="00FA62C9"/>
    <w:rsid w:val="00FB75BE"/>
    <w:rsid w:val="00FC1BA0"/>
    <w:rsid w:val="00FC72C4"/>
    <w:rsid w:val="00FD1998"/>
    <w:rsid w:val="00FD33BC"/>
    <w:rsid w:val="00FE00D2"/>
    <w:rsid w:val="00FE2847"/>
    <w:rsid w:val="00FE48C0"/>
    <w:rsid w:val="00FF0D0B"/>
    <w:rsid w:val="00FF0D3B"/>
    <w:rsid w:val="00FF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A844D5-576E-4D3F-8331-59D01C00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7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7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77F8"/>
    <w:rPr>
      <w:sz w:val="18"/>
      <w:szCs w:val="18"/>
    </w:rPr>
  </w:style>
  <w:style w:type="paragraph" w:styleId="a5">
    <w:name w:val="footer"/>
    <w:basedOn w:val="a"/>
    <w:link w:val="a6"/>
    <w:uiPriority w:val="99"/>
    <w:unhideWhenUsed/>
    <w:rsid w:val="00A777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77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410</Words>
  <Characters>2340</Characters>
  <Application>Microsoft Office Word</Application>
  <DocSecurity>0</DocSecurity>
  <Lines>19</Lines>
  <Paragraphs>5</Paragraphs>
  <ScaleCrop>false</ScaleCrop>
  <Company>Microsoft</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蔡娟</cp:lastModifiedBy>
  <cp:revision>2</cp:revision>
  <dcterms:created xsi:type="dcterms:W3CDTF">2019-12-25T07:18:00Z</dcterms:created>
  <dcterms:modified xsi:type="dcterms:W3CDTF">2019-12-25T07:18:00Z</dcterms:modified>
</cp:coreProperties>
</file>