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4C" w:rsidRDefault="00B3104C" w:rsidP="00B3104C">
      <w:pPr>
        <w:widowControl/>
        <w:spacing w:line="600" w:lineRule="exact"/>
        <w:jc w:val="left"/>
        <w:rPr>
          <w:rFonts w:eastAsia="黑体"/>
          <w:color w:val="000000"/>
          <w:sz w:val="32"/>
          <w:szCs w:val="32"/>
        </w:rPr>
      </w:pPr>
      <w:r>
        <w:rPr>
          <w:rFonts w:eastAsia="黑体" w:hint="eastAsia"/>
          <w:color w:val="000000"/>
          <w:sz w:val="32"/>
          <w:szCs w:val="32"/>
        </w:rPr>
        <w:t>附件</w:t>
      </w:r>
    </w:p>
    <w:p w:rsidR="00B3104C" w:rsidRDefault="00B3104C" w:rsidP="00B3104C">
      <w:pPr>
        <w:widowControl/>
        <w:spacing w:line="600" w:lineRule="exact"/>
        <w:jc w:val="center"/>
        <w:rPr>
          <w:rFonts w:eastAsia="方正小标宋简体"/>
          <w:color w:val="000000"/>
          <w:sz w:val="44"/>
          <w:szCs w:val="44"/>
        </w:rPr>
      </w:pPr>
      <w:r>
        <w:rPr>
          <w:rFonts w:eastAsia="方正小标宋简体" w:hint="eastAsia"/>
          <w:color w:val="000000"/>
          <w:sz w:val="44"/>
          <w:szCs w:val="44"/>
        </w:rPr>
        <w:t>四川省药品监督管理局</w:t>
      </w:r>
    </w:p>
    <w:p w:rsidR="00B3104C" w:rsidRDefault="00B3104C" w:rsidP="00B3104C">
      <w:pPr>
        <w:widowControl/>
        <w:spacing w:line="600" w:lineRule="exact"/>
        <w:jc w:val="center"/>
        <w:rPr>
          <w:rFonts w:eastAsia="黑体"/>
          <w:color w:val="000000"/>
          <w:spacing w:val="-4"/>
          <w:sz w:val="44"/>
          <w:szCs w:val="44"/>
        </w:rPr>
      </w:pPr>
      <w:r>
        <w:rPr>
          <w:rFonts w:eastAsia="方正小标宋简体" w:hint="eastAsia"/>
          <w:color w:val="000000"/>
          <w:spacing w:val="-4"/>
          <w:sz w:val="44"/>
          <w:szCs w:val="44"/>
        </w:rPr>
        <w:t>关于支持医疗器械产业高质量发展二十条措施</w:t>
      </w:r>
    </w:p>
    <w:p w:rsidR="00B3104C" w:rsidRDefault="00B3104C" w:rsidP="00B3104C">
      <w:pPr>
        <w:widowControl/>
        <w:spacing w:line="600" w:lineRule="exact"/>
        <w:jc w:val="center"/>
        <w:rPr>
          <w:rFonts w:eastAsia="楷体_GB2312"/>
          <w:bCs/>
          <w:color w:val="000000"/>
          <w:sz w:val="32"/>
          <w:szCs w:val="32"/>
        </w:rPr>
      </w:pPr>
      <w:r>
        <w:rPr>
          <w:rFonts w:eastAsia="楷体_GB2312" w:hint="eastAsia"/>
          <w:bCs/>
          <w:color w:val="000000"/>
          <w:sz w:val="32"/>
          <w:szCs w:val="32"/>
        </w:rPr>
        <w:t>（征求意见稿）</w:t>
      </w:r>
    </w:p>
    <w:p w:rsidR="00B3104C" w:rsidRDefault="00B3104C" w:rsidP="00B3104C">
      <w:pPr>
        <w:widowControl/>
        <w:spacing w:line="600" w:lineRule="exact"/>
        <w:jc w:val="center"/>
        <w:rPr>
          <w:rFonts w:eastAsia="楷体_GB2312"/>
          <w:bCs/>
          <w:color w:val="000000"/>
          <w:sz w:val="32"/>
          <w:szCs w:val="32"/>
        </w:rPr>
      </w:pPr>
    </w:p>
    <w:p w:rsidR="00B3104C" w:rsidRDefault="00B3104C" w:rsidP="00B3104C">
      <w:pPr>
        <w:widowControl/>
        <w:overflowPunct w:val="0"/>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为深入贯彻落实党中央国务院关于深化“放管服”改革和省委关于全面推动高质量发展的决定，坚持以新发展理念为引领，进一步优化营商环境，助力打造一流的产业发展生态，提升医疗器械产业发展规模和质量，加快推动四川向医疗器械产业强省迈进。制定以下支持政策措施。</w:t>
      </w:r>
    </w:p>
    <w:p w:rsidR="00B3104C" w:rsidRDefault="00B3104C" w:rsidP="00B3104C">
      <w:pPr>
        <w:overflowPunct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一、促进医疗器械产业集聚发展</w:t>
      </w:r>
    </w:p>
    <w:p w:rsidR="00B3104C" w:rsidRDefault="00B3104C" w:rsidP="00B3104C">
      <w:pPr>
        <w:overflowPunct w:val="0"/>
        <w:spacing w:line="600" w:lineRule="exact"/>
        <w:ind w:firstLineChars="200" w:firstLine="640"/>
        <w:rPr>
          <w:rFonts w:eastAsia="仿宋_GB2312" w:hint="eastAsia"/>
          <w:color w:val="000000"/>
          <w:sz w:val="32"/>
          <w:szCs w:val="32"/>
        </w:rPr>
      </w:pPr>
      <w:r>
        <w:rPr>
          <w:rFonts w:ascii="楷体_GB2312" w:eastAsia="楷体_GB2312" w:hint="eastAsia"/>
          <w:bCs/>
          <w:color w:val="000000"/>
          <w:sz w:val="32"/>
          <w:szCs w:val="32"/>
        </w:rPr>
        <w:t>（一）支持重点园区发展。</w:t>
      </w:r>
      <w:r>
        <w:rPr>
          <w:rFonts w:eastAsia="仿宋_GB2312" w:hint="eastAsia"/>
          <w:color w:val="000000"/>
          <w:sz w:val="32"/>
          <w:szCs w:val="32"/>
        </w:rPr>
        <w:t>进一步完善政策环境，为落户产业园区的企业开辟绿色通道，优先审评审批。支持国内外知名医疗器械公司在川设立总部、研发中心、生产基地，吸引创新型、龙头型、互补型医疗器械生产企业落户产业园区。重点支持成都天府国际生物城、成都医学城、资阳国际口腔装备及材料基地等产业园区的医疗器械科技成果转化，全面落实《中国制造</w:t>
      </w:r>
      <w:r>
        <w:rPr>
          <w:rFonts w:eastAsia="仿宋_GB2312"/>
          <w:color w:val="000000"/>
          <w:sz w:val="32"/>
          <w:szCs w:val="32"/>
        </w:rPr>
        <w:t>2025</w:t>
      </w:r>
      <w:r>
        <w:rPr>
          <w:rFonts w:eastAsia="仿宋_GB2312" w:hint="eastAsia"/>
          <w:color w:val="000000"/>
          <w:sz w:val="32"/>
          <w:szCs w:val="32"/>
        </w:rPr>
        <w:t>四川行动计划》，以重点项目带动产业集群发展，加快建设制造强省。</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（二）优化园区政务服务。</w:t>
      </w:r>
      <w:r>
        <w:rPr>
          <w:rFonts w:eastAsia="仿宋_GB2312" w:hint="eastAsia"/>
          <w:color w:val="000000"/>
          <w:sz w:val="32"/>
          <w:szCs w:val="32"/>
        </w:rPr>
        <w:t>建立健全医疗器械产业园区协作机制，共商产业发展和强化监管的新举措。主动投身成渝地区双城经济圈建设，完善多种政务服务模式，搭建监管咨询交流平台，</w:t>
      </w:r>
      <w:r>
        <w:rPr>
          <w:rFonts w:eastAsia="仿宋_GB2312" w:hint="eastAsia"/>
          <w:color w:val="000000"/>
          <w:sz w:val="32"/>
          <w:szCs w:val="32"/>
        </w:rPr>
        <w:lastRenderedPageBreak/>
        <w:t>为园区企业提供法律法规、产品分类、注册检验、临床试验、质量体系、知识产权等政策咨询和技术服务。</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（三）鼓励承接产业转移。</w:t>
      </w:r>
      <w:r>
        <w:rPr>
          <w:rFonts w:eastAsia="仿宋_GB2312" w:hint="eastAsia"/>
          <w:color w:val="000000"/>
          <w:sz w:val="32"/>
          <w:szCs w:val="32"/>
        </w:rPr>
        <w:t>对接先进生产力，积极承接发达地区和境外等产业转移。省外医疗器械生产企业迁入四川的，其已上市产品在适用范围（预期用途）、结构组成（主要组成成分）等不变的情况下，且在川具备</w:t>
      </w:r>
      <w:r>
        <w:rPr>
          <w:rFonts w:eastAsia="仿宋_GB2312" w:hint="eastAsia"/>
          <w:color w:val="000000"/>
          <w:sz w:val="32"/>
          <w:szCs w:val="32"/>
          <w:shd w:val="clear" w:color="auto" w:fill="FFFFFF"/>
        </w:rPr>
        <w:t>生产条件和产品检验合格的，充分参考原审评审批意见，</w:t>
      </w:r>
      <w:r>
        <w:rPr>
          <w:rFonts w:eastAsia="仿宋_GB2312" w:hint="eastAsia"/>
          <w:color w:val="000000"/>
          <w:sz w:val="32"/>
          <w:szCs w:val="32"/>
        </w:rPr>
        <w:t>第二类医疗器械可提交原产品注册时的临床试验（临床评价）资料、生物相容性研究资料作为注册资料申报注册。</w:t>
      </w:r>
    </w:p>
    <w:p w:rsidR="00B3104C" w:rsidRDefault="00B3104C" w:rsidP="00B3104C">
      <w:pPr>
        <w:overflowPunct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二、鼓励产品研发创新</w:t>
      </w:r>
    </w:p>
    <w:p w:rsidR="00B3104C" w:rsidRDefault="00B3104C" w:rsidP="00B3104C">
      <w:pPr>
        <w:overflowPunct w:val="0"/>
        <w:spacing w:line="600" w:lineRule="exact"/>
        <w:ind w:firstLineChars="200" w:firstLine="640"/>
        <w:rPr>
          <w:rFonts w:eastAsia="仿宋_GB2312" w:hint="eastAsia"/>
          <w:color w:val="000000"/>
          <w:sz w:val="32"/>
          <w:szCs w:val="32"/>
        </w:rPr>
      </w:pPr>
      <w:r>
        <w:rPr>
          <w:rFonts w:ascii="楷体_GB2312" w:eastAsia="楷体_GB2312" w:hint="eastAsia"/>
          <w:bCs/>
          <w:color w:val="000000"/>
          <w:sz w:val="32"/>
          <w:szCs w:val="32"/>
        </w:rPr>
        <w:t>（四）支持企业做强做优做大。</w:t>
      </w:r>
      <w:r>
        <w:rPr>
          <w:rFonts w:eastAsia="仿宋_GB2312" w:hint="eastAsia"/>
          <w:color w:val="000000"/>
          <w:sz w:val="32"/>
          <w:szCs w:val="32"/>
        </w:rPr>
        <w:t>支持和鼓励医疗器械生产企业实施兼并重组，延伸产业链条，增强辐射能力，促进医疗器械产业规模化集约化发展。鼓励有条件的医疗器械生产企业通过购买创新技术或者委托创新团队研发产品，发挥企业在产品转化及生产制造等方面的优势，形成具有国际竞争力的医疗器械龙头企业。支持企业主动对接“一带一路”，鼓励实施国际化第三方认证，优化产品出口结构，扩大医疗器械产品出口销售。</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（五）大力实施品牌战略。</w:t>
      </w:r>
      <w:r>
        <w:rPr>
          <w:rFonts w:eastAsia="仿宋_GB2312" w:hint="eastAsia"/>
          <w:color w:val="000000"/>
          <w:sz w:val="32"/>
          <w:szCs w:val="32"/>
        </w:rPr>
        <w:t>着力推动创新创业群体多元化，发挥大企业、科研院所和高等院校及医疗机构的领军作用，激发专业技术人才、高技能人才等的创造潜能，加速科技成果向现实生产力转化。对接四川省知识产权公共服务平台、中国（四川）知识产权保护中心等平台资源，培育一批具有核心知识产权的企</w:t>
      </w:r>
      <w:r>
        <w:rPr>
          <w:rFonts w:eastAsia="仿宋_GB2312" w:hint="eastAsia"/>
          <w:color w:val="000000"/>
          <w:sz w:val="32"/>
          <w:szCs w:val="32"/>
        </w:rPr>
        <w:lastRenderedPageBreak/>
        <w:t>业，鼓励运用知识产权保护创新成果</w:t>
      </w:r>
      <w:r>
        <w:rPr>
          <w:rFonts w:eastAsia="仿宋_GB2312"/>
          <w:color w:val="000000"/>
          <w:sz w:val="32"/>
          <w:szCs w:val="32"/>
        </w:rPr>
        <w:t>,</w:t>
      </w:r>
      <w:r>
        <w:rPr>
          <w:rFonts w:eastAsia="仿宋_GB2312" w:hint="eastAsia"/>
          <w:color w:val="000000"/>
          <w:sz w:val="32"/>
          <w:szCs w:val="32"/>
        </w:rPr>
        <w:t>支持医疗器械企业依法开展品牌创建和驰名商标保护认定，落实落地“四川制造”。</w:t>
      </w:r>
      <w:r>
        <w:rPr>
          <w:rFonts w:eastAsia="仿宋_GB2312"/>
          <w:color w:val="000000"/>
          <w:sz w:val="32"/>
          <w:szCs w:val="32"/>
        </w:rPr>
        <w:t xml:space="preserve"> </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推进医疗器械注册人制度试点工作，落实注册人主体责任，积极引导搭建科技领先、协同创新的医疗器械服务平台，优化资源和创新要素的市场配置机制。</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（六）健全创新审批绿色通道。</w:t>
      </w:r>
      <w:r>
        <w:rPr>
          <w:rFonts w:eastAsia="仿宋_GB2312" w:hint="eastAsia"/>
          <w:color w:val="000000"/>
          <w:sz w:val="32"/>
          <w:szCs w:val="32"/>
        </w:rPr>
        <w:t>对创新医疗器械和重大项目实施先期介入、专业指导、全程跟踪，优先审评审批，优化审批流程。指导我省医疗器械检验检测机构启动加急程序随到随检，提供研发环节技术服务。完善“创新通道”、“优先通道”和“快速通道”审批机制，加快产品上市进程。</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（七）夯实国家医疗器械创新四川服务站平台。</w:t>
      </w:r>
      <w:r>
        <w:rPr>
          <w:rFonts w:eastAsia="仿宋_GB2312" w:hint="eastAsia"/>
          <w:color w:val="000000"/>
          <w:sz w:val="32"/>
          <w:szCs w:val="32"/>
        </w:rPr>
        <w:t>协同开展医疗器械技术审评质量管理体系研究，加快医疗器械技术审评质量管理体系的科学化进程。畅通创新指导服务便捷通道，通过远程视频等多种方式加强对创新医疗器械申报的指导，加快四川创新产品的认定。</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（八）扩大优先审批适用范围。</w:t>
      </w:r>
      <w:r>
        <w:rPr>
          <w:rFonts w:eastAsia="仿宋_GB2312" w:hint="eastAsia"/>
          <w:color w:val="000000"/>
          <w:sz w:val="32"/>
          <w:szCs w:val="32"/>
        </w:rPr>
        <w:t>对被国家认定创新产品、填补我省空白且具有显著临床价值的产品、列入国家和本省重大专项（含重点研发项目）和发展规划的产品、具有自主知识产权的产品，以及获得省部级二等及以上科学技术奖励的产品等情形，列入优先审评审批范围，推动我省创新、高端医疗器械产品发展。</w:t>
      </w:r>
    </w:p>
    <w:p w:rsidR="00B3104C" w:rsidRDefault="00B3104C" w:rsidP="00B3104C">
      <w:pPr>
        <w:overflowPunct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三、深化审评审批制度改革</w:t>
      </w:r>
    </w:p>
    <w:p w:rsidR="00B3104C" w:rsidRDefault="00B3104C" w:rsidP="00B3104C">
      <w:pPr>
        <w:overflowPunct w:val="0"/>
        <w:spacing w:line="600" w:lineRule="exact"/>
        <w:ind w:firstLineChars="200" w:firstLine="640"/>
        <w:rPr>
          <w:rFonts w:ascii="楷体_GB2312" w:eastAsia="楷体_GB2312" w:hint="eastAsia"/>
          <w:bCs/>
          <w:color w:val="000000"/>
          <w:sz w:val="32"/>
          <w:szCs w:val="32"/>
        </w:rPr>
      </w:pPr>
      <w:r>
        <w:rPr>
          <w:rFonts w:ascii="楷体_GB2312" w:eastAsia="楷体_GB2312" w:hint="eastAsia"/>
          <w:bCs/>
          <w:color w:val="000000"/>
          <w:sz w:val="32"/>
          <w:szCs w:val="32"/>
        </w:rPr>
        <w:t>（九）压缩审批时限</w:t>
      </w:r>
    </w:p>
    <w:p w:rsidR="00B3104C" w:rsidRDefault="00B3104C" w:rsidP="00B3104C">
      <w:pPr>
        <w:overflowPunct w:val="0"/>
        <w:spacing w:line="600" w:lineRule="exact"/>
        <w:ind w:firstLineChars="200" w:firstLine="640"/>
        <w:rPr>
          <w:rFonts w:eastAsia="仿宋_GB2312" w:hint="eastAsia"/>
          <w:color w:val="000000"/>
          <w:sz w:val="32"/>
          <w:szCs w:val="32"/>
        </w:rPr>
      </w:pPr>
      <w:r>
        <w:rPr>
          <w:rFonts w:eastAsia="仿宋_GB2312" w:hint="eastAsia"/>
          <w:color w:val="000000"/>
          <w:sz w:val="32"/>
          <w:szCs w:val="32"/>
        </w:rPr>
        <w:lastRenderedPageBreak/>
        <w:t>第二类医疗器械产品（含体外诊断试剂）注册事项审批办理时限在法定时限基础上压缩</w:t>
      </w:r>
      <w:r>
        <w:rPr>
          <w:rFonts w:eastAsia="仿宋_GB2312"/>
          <w:color w:val="000000"/>
          <w:sz w:val="32"/>
          <w:szCs w:val="32"/>
        </w:rPr>
        <w:t>60%</w:t>
      </w:r>
      <w:r>
        <w:rPr>
          <w:rFonts w:eastAsia="仿宋_GB2312" w:hint="eastAsia"/>
          <w:color w:val="000000"/>
          <w:sz w:val="32"/>
          <w:szCs w:val="32"/>
        </w:rPr>
        <w:t>；技术审评时限压减至</w:t>
      </w:r>
      <w:r>
        <w:rPr>
          <w:rFonts w:eastAsia="仿宋_GB2312"/>
          <w:color w:val="000000"/>
          <w:sz w:val="32"/>
          <w:szCs w:val="32"/>
        </w:rPr>
        <w:t>40</w:t>
      </w:r>
      <w:r>
        <w:rPr>
          <w:rFonts w:eastAsia="仿宋_GB2312" w:hint="eastAsia"/>
          <w:color w:val="000000"/>
          <w:sz w:val="32"/>
          <w:szCs w:val="32"/>
        </w:rPr>
        <w:t>个工作日。</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第二类、第三类医疗器械生产许可核发、延续、生产地址变更、增加生产范围</w:t>
      </w:r>
      <w:r>
        <w:rPr>
          <w:rFonts w:eastAsia="仿宋_GB2312"/>
          <w:color w:val="000000"/>
          <w:sz w:val="32"/>
          <w:szCs w:val="32"/>
        </w:rPr>
        <w:t>/</w:t>
      </w:r>
      <w:r>
        <w:rPr>
          <w:rFonts w:eastAsia="仿宋_GB2312" w:hint="eastAsia"/>
          <w:color w:val="000000"/>
          <w:sz w:val="32"/>
          <w:szCs w:val="32"/>
        </w:rPr>
        <w:t>增加生产产品等涉及现场核查的事项，办理时限在法定时限基础上压缩</w:t>
      </w:r>
      <w:r>
        <w:rPr>
          <w:rFonts w:eastAsia="仿宋_GB2312"/>
          <w:color w:val="000000"/>
          <w:sz w:val="32"/>
          <w:szCs w:val="32"/>
        </w:rPr>
        <w:t>60%</w:t>
      </w:r>
      <w:r>
        <w:rPr>
          <w:rFonts w:eastAsia="仿宋_GB2312" w:hint="eastAsia"/>
          <w:color w:val="000000"/>
          <w:sz w:val="32"/>
          <w:szCs w:val="32"/>
        </w:rPr>
        <w:t>；不涉及现场核查的简单登记事项变更，实行收件即办，立等可取。</w:t>
      </w:r>
      <w:r>
        <w:rPr>
          <w:rFonts w:eastAsia="仿宋_GB2312"/>
          <w:color w:val="000000"/>
          <w:sz w:val="32"/>
          <w:szCs w:val="32"/>
        </w:rPr>
        <w:t> </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对省内企业申请办理医疗器械互联网信息服务审批事项，实行告知承诺审批。申请人按照《行政审批核发告知书》要求，提交《申请人承诺书》的，当场核发许可证书。</w:t>
      </w:r>
    </w:p>
    <w:p w:rsidR="00B3104C" w:rsidRDefault="00B3104C" w:rsidP="00B3104C">
      <w:pPr>
        <w:overflowPunct w:val="0"/>
        <w:spacing w:line="600" w:lineRule="exact"/>
        <w:ind w:firstLineChars="200" w:firstLine="640"/>
        <w:rPr>
          <w:rFonts w:ascii="楷体_GB2312" w:eastAsia="楷体_GB2312"/>
          <w:bCs/>
          <w:color w:val="000000"/>
          <w:sz w:val="32"/>
          <w:szCs w:val="32"/>
        </w:rPr>
      </w:pPr>
      <w:r>
        <w:rPr>
          <w:rFonts w:ascii="楷体_GB2312" w:eastAsia="楷体_GB2312" w:hint="eastAsia"/>
          <w:bCs/>
          <w:color w:val="000000"/>
          <w:sz w:val="32"/>
          <w:szCs w:val="32"/>
        </w:rPr>
        <w:t>（十）精简申报资料</w:t>
      </w:r>
    </w:p>
    <w:p w:rsidR="00B3104C" w:rsidRDefault="00B3104C" w:rsidP="00B3104C">
      <w:pPr>
        <w:overflowPunct w:val="0"/>
        <w:spacing w:line="600" w:lineRule="exact"/>
        <w:ind w:firstLineChars="200" w:firstLine="640"/>
        <w:rPr>
          <w:rFonts w:eastAsia="仿宋_GB2312" w:hint="eastAsia"/>
          <w:color w:val="000000"/>
          <w:sz w:val="32"/>
          <w:szCs w:val="32"/>
        </w:rPr>
      </w:pPr>
      <w:r>
        <w:rPr>
          <w:rFonts w:eastAsia="仿宋_GB2312" w:hint="eastAsia"/>
          <w:color w:val="000000"/>
          <w:sz w:val="32"/>
          <w:szCs w:val="32"/>
        </w:rPr>
        <w:t>申请人申报第二类医疗器械产品注册、生产许可证，不再提供企业营业执照、法定代表人或者企业负责人身份证明，以及其他可通过部门间信息共享获取的相关信息材料。</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简化已有同品种上市医疗器械（不含体外诊断试剂）临床评价资料。可提交同品种医疗器械在省级以上专业刊物公开发表的文献数据、合法取得的同品种医疗器械上市后两年及以上时间临床使用数据或同品种医疗器械临床试验资料作为本次注册申报资料。</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已获取三类注册证但因产品管理类别调整为二类而申请首次注册的，如产品本身无变化且符合现行强制性国家标准</w:t>
      </w:r>
      <w:r>
        <w:rPr>
          <w:rFonts w:eastAsia="仿宋_GB2312"/>
          <w:color w:val="000000"/>
          <w:sz w:val="32"/>
          <w:szCs w:val="32"/>
        </w:rPr>
        <w:t>/</w:t>
      </w:r>
      <w:r>
        <w:rPr>
          <w:rFonts w:eastAsia="仿宋_GB2312" w:hint="eastAsia"/>
          <w:color w:val="000000"/>
          <w:sz w:val="32"/>
          <w:szCs w:val="32"/>
        </w:rPr>
        <w:t>行业标准的，且首次取证时间不超过</w:t>
      </w:r>
      <w:r>
        <w:rPr>
          <w:rFonts w:eastAsia="仿宋_GB2312"/>
          <w:color w:val="000000"/>
          <w:sz w:val="32"/>
          <w:szCs w:val="32"/>
        </w:rPr>
        <w:t>5</w:t>
      </w:r>
      <w:r>
        <w:rPr>
          <w:rFonts w:eastAsia="仿宋_GB2312" w:hint="eastAsia"/>
          <w:color w:val="000000"/>
          <w:sz w:val="32"/>
          <w:szCs w:val="32"/>
        </w:rPr>
        <w:t>年，可提交原产品注册申报资</w:t>
      </w:r>
      <w:r>
        <w:rPr>
          <w:rFonts w:eastAsia="仿宋_GB2312" w:hint="eastAsia"/>
          <w:color w:val="000000"/>
          <w:sz w:val="32"/>
          <w:szCs w:val="32"/>
        </w:rPr>
        <w:lastRenderedPageBreak/>
        <w:t>料作为本次注册申报资料。</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已获取进口二类注册证的产品，企业转移至我省生产申请首次注册的，如产品本身无变化且符合现行强制性国家标准</w:t>
      </w:r>
      <w:r>
        <w:rPr>
          <w:rFonts w:eastAsia="仿宋_GB2312"/>
          <w:color w:val="000000"/>
          <w:sz w:val="32"/>
          <w:szCs w:val="32"/>
        </w:rPr>
        <w:t>/</w:t>
      </w:r>
      <w:r>
        <w:rPr>
          <w:rFonts w:eastAsia="仿宋_GB2312" w:hint="eastAsia"/>
          <w:color w:val="000000"/>
          <w:sz w:val="32"/>
          <w:szCs w:val="32"/>
        </w:rPr>
        <w:t>行业标准的，且首次取证时间不超过</w:t>
      </w:r>
      <w:r>
        <w:rPr>
          <w:rFonts w:eastAsia="仿宋_GB2312"/>
          <w:color w:val="000000"/>
          <w:sz w:val="32"/>
          <w:szCs w:val="32"/>
        </w:rPr>
        <w:t>5</w:t>
      </w:r>
      <w:r>
        <w:rPr>
          <w:rFonts w:eastAsia="仿宋_GB2312" w:hint="eastAsia"/>
          <w:color w:val="000000"/>
          <w:sz w:val="32"/>
          <w:szCs w:val="32"/>
        </w:rPr>
        <w:t>年，除注册检验报告外，可提交原注册申报资料作为本次注册申报资料。</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省内二类医疗器械产品在上一注册周期中技术升级，不涉及注册证及其附件载明事项变更的，产品延续注册时由企业自行根据风险进行验证并提交相关验证材料。</w:t>
      </w:r>
    </w:p>
    <w:p w:rsidR="00B3104C" w:rsidRDefault="00B3104C" w:rsidP="00B3104C">
      <w:pPr>
        <w:overflowPunct w:val="0"/>
        <w:spacing w:line="600" w:lineRule="exact"/>
        <w:ind w:firstLineChars="200" w:firstLine="640"/>
        <w:rPr>
          <w:rFonts w:ascii="楷体_GB2312" w:eastAsia="楷体_GB2312"/>
          <w:bCs/>
          <w:color w:val="000000"/>
          <w:sz w:val="32"/>
          <w:szCs w:val="32"/>
        </w:rPr>
      </w:pPr>
      <w:r>
        <w:rPr>
          <w:rFonts w:ascii="楷体_GB2312" w:eastAsia="楷体_GB2312" w:hint="eastAsia"/>
          <w:bCs/>
          <w:color w:val="000000"/>
          <w:sz w:val="32"/>
          <w:szCs w:val="32"/>
        </w:rPr>
        <w:t xml:space="preserve">（十一）优化现场检查 </w:t>
      </w:r>
    </w:p>
    <w:p w:rsidR="00B3104C" w:rsidRDefault="00B3104C" w:rsidP="00B3104C">
      <w:pPr>
        <w:overflowPunct w:val="0"/>
        <w:spacing w:line="600" w:lineRule="exact"/>
        <w:ind w:firstLineChars="200" w:firstLine="640"/>
        <w:rPr>
          <w:rFonts w:eastAsia="仿宋_GB2312" w:hint="eastAsia"/>
          <w:color w:val="000000"/>
          <w:sz w:val="32"/>
          <w:szCs w:val="32"/>
        </w:rPr>
      </w:pPr>
      <w:r>
        <w:rPr>
          <w:rFonts w:eastAsia="仿宋_GB2312" w:hint="eastAsia"/>
          <w:color w:val="000000"/>
          <w:sz w:val="32"/>
          <w:szCs w:val="32"/>
        </w:rPr>
        <w:t>首次注册时通过质量管理体系核查并取得医疗器械产品注册证的，两年内在原生产地址再次申请相同生产范围（《医疗器械分类目录》二级产品类别）产品注册，原则上免于注册质量管理体系现场核查或简化现场核查项目。</w:t>
      </w:r>
      <w:r>
        <w:rPr>
          <w:rFonts w:eastAsia="仿宋_GB2312"/>
          <w:color w:val="000000"/>
          <w:sz w:val="32"/>
          <w:szCs w:val="32"/>
        </w:rPr>
        <w:t xml:space="preserve"> </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申请首次注册产品与企业已取得医疗器械产品注册证的产品具有基本相同的生产条件、生产工艺的，原则上免于注册质量管理体系全项目核查，仅对注册检验样品和临床试验用样品的真实性进行核查。</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申请不涉及生产工艺变化的产品注册变更事项，免于注册质量管理体系现场核查。</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t>申请医疗器械生产许可证核发、延续或增加生产范围（产品）变更事项，一年以内通过国家或省局组织的质量管理体系全项目检查的，免于现场检查。</w:t>
      </w:r>
    </w:p>
    <w:p w:rsidR="00B3104C" w:rsidRDefault="00B3104C" w:rsidP="00B3104C">
      <w:pPr>
        <w:overflowPunct w:val="0"/>
        <w:spacing w:line="600" w:lineRule="exact"/>
        <w:ind w:firstLineChars="200" w:firstLine="640"/>
        <w:rPr>
          <w:rFonts w:eastAsia="仿宋_GB2312"/>
          <w:color w:val="000000"/>
          <w:sz w:val="32"/>
          <w:szCs w:val="32"/>
        </w:rPr>
      </w:pPr>
      <w:r>
        <w:rPr>
          <w:rFonts w:eastAsia="仿宋_GB2312" w:hint="eastAsia"/>
          <w:color w:val="000000"/>
          <w:sz w:val="32"/>
          <w:szCs w:val="32"/>
        </w:rPr>
        <w:lastRenderedPageBreak/>
        <w:t>鼓励企业采用制造执行信息系统（</w:t>
      </w:r>
      <w:r>
        <w:rPr>
          <w:rFonts w:eastAsia="仿宋_GB2312"/>
          <w:color w:val="000000"/>
          <w:sz w:val="32"/>
          <w:szCs w:val="32"/>
        </w:rPr>
        <w:t>MES</w:t>
      </w:r>
      <w:r>
        <w:rPr>
          <w:rFonts w:eastAsia="仿宋_GB2312" w:hint="eastAsia"/>
          <w:color w:val="000000"/>
          <w:sz w:val="32"/>
          <w:szCs w:val="32"/>
        </w:rPr>
        <w:t>）进行生产全流程信息化管理。对开放系统登录端口接受监管部门远程检查的，减少现场监督检查的频次。</w:t>
      </w:r>
    </w:p>
    <w:p w:rsidR="00B3104C" w:rsidRDefault="00B3104C" w:rsidP="00B3104C">
      <w:pPr>
        <w:overflowPunct w:val="0"/>
        <w:spacing w:line="600" w:lineRule="exact"/>
        <w:ind w:firstLineChars="200" w:firstLine="640"/>
        <w:rPr>
          <w:rFonts w:eastAsia="仿宋_GB2312"/>
          <w:b/>
          <w:color w:val="000000"/>
          <w:sz w:val="32"/>
          <w:szCs w:val="32"/>
        </w:rPr>
      </w:pPr>
      <w:r>
        <w:rPr>
          <w:rFonts w:ascii="楷体_GB2312" w:eastAsia="楷体_GB2312" w:hint="eastAsia"/>
          <w:bCs/>
          <w:color w:val="000000"/>
          <w:sz w:val="32"/>
          <w:szCs w:val="32"/>
        </w:rPr>
        <w:t>（十二）推行合并审查。</w:t>
      </w:r>
      <w:r>
        <w:rPr>
          <w:rFonts w:eastAsia="仿宋_GB2312" w:hint="eastAsia"/>
          <w:color w:val="000000"/>
          <w:sz w:val="32"/>
          <w:szCs w:val="32"/>
        </w:rPr>
        <w:t>申请医疗器械产品许可事项变更注册和延续注册，可合并审查。</w:t>
      </w:r>
    </w:p>
    <w:p w:rsidR="00B3104C" w:rsidRDefault="00B3104C" w:rsidP="00B3104C">
      <w:pPr>
        <w:overflowPunct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四、推进临床试验机构建设</w:t>
      </w:r>
    </w:p>
    <w:p w:rsidR="00B3104C" w:rsidRDefault="00B3104C" w:rsidP="00B3104C">
      <w:pPr>
        <w:overflowPunct w:val="0"/>
        <w:spacing w:line="600" w:lineRule="exact"/>
        <w:ind w:firstLineChars="200" w:firstLine="640"/>
        <w:rPr>
          <w:rFonts w:eastAsia="仿宋_GB2312" w:hint="eastAsia"/>
          <w:color w:val="000000"/>
          <w:sz w:val="32"/>
          <w:szCs w:val="32"/>
        </w:rPr>
      </w:pPr>
      <w:r>
        <w:rPr>
          <w:rFonts w:ascii="楷体_GB2312" w:eastAsia="楷体_GB2312" w:hint="eastAsia"/>
          <w:bCs/>
          <w:color w:val="000000"/>
          <w:sz w:val="32"/>
          <w:szCs w:val="32"/>
        </w:rPr>
        <w:t>（十三）扩展临床试验机构。</w:t>
      </w:r>
      <w:r>
        <w:rPr>
          <w:rFonts w:eastAsia="仿宋_GB2312" w:hint="eastAsia"/>
          <w:color w:val="000000"/>
          <w:sz w:val="32"/>
          <w:szCs w:val="32"/>
        </w:rPr>
        <w:t>支持医疗机构、医学研究机构等具备临床试验条件的机构积极参与医疗器械临床试验机构备案，在国家指定网站登记备案后开展临床试验。加强政策指导，强化申请人和临床试验机构的法律意识、诚信意识、责任意识和质量意识。推进伦理审查互认工作，鼓励有条件的临床机构牵头建立医疗器械临床试验的区域伦理委员会。</w:t>
      </w:r>
    </w:p>
    <w:p w:rsidR="00B3104C" w:rsidRDefault="00B3104C" w:rsidP="00B3104C">
      <w:pPr>
        <w:overflowPunct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五、加强技术审评能力建设</w:t>
      </w:r>
    </w:p>
    <w:p w:rsidR="00B3104C" w:rsidRDefault="00B3104C" w:rsidP="00B3104C">
      <w:pPr>
        <w:overflowPunct w:val="0"/>
        <w:spacing w:line="600" w:lineRule="exact"/>
        <w:ind w:firstLineChars="200" w:firstLine="640"/>
        <w:rPr>
          <w:rFonts w:eastAsia="仿宋_GB2312" w:hint="eastAsia"/>
          <w:color w:val="000000"/>
          <w:sz w:val="32"/>
          <w:szCs w:val="32"/>
        </w:rPr>
      </w:pPr>
      <w:r>
        <w:rPr>
          <w:rFonts w:ascii="楷体_GB2312" w:eastAsia="楷体_GB2312" w:hint="eastAsia"/>
          <w:bCs/>
          <w:color w:val="000000"/>
          <w:sz w:val="32"/>
          <w:szCs w:val="32"/>
        </w:rPr>
        <w:t>（十四）健全完善技术审评体系。</w:t>
      </w:r>
      <w:r>
        <w:rPr>
          <w:rFonts w:eastAsia="仿宋_GB2312" w:hint="eastAsia"/>
          <w:color w:val="000000"/>
          <w:sz w:val="32"/>
          <w:szCs w:val="32"/>
        </w:rPr>
        <w:t>加强专业化技术审评队伍建设，完善专职审评人员、审评专家、专家委员会互相支撑的技术审评体系，加快职业化专业化检查员队伍建设。</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（十五）推行审评项目管理。</w:t>
      </w:r>
      <w:r>
        <w:rPr>
          <w:rFonts w:eastAsia="仿宋_GB2312" w:hint="eastAsia"/>
          <w:color w:val="000000"/>
          <w:sz w:val="32"/>
          <w:szCs w:val="32"/>
        </w:rPr>
        <w:t>以专业为导向，兼顾效率，创新审评形式，先行将创新医疗器械审批项目、应急审批项目、重大审批项目、疑难产品注册项目作为试点纳入项目小组审评，授权项目管理人统筹管理审评项目，推动审评项目高效运行。</w:t>
      </w:r>
      <w:r>
        <w:rPr>
          <w:rFonts w:eastAsia="仿宋_GB2312"/>
          <w:b/>
          <w:color w:val="000000"/>
          <w:sz w:val="32"/>
          <w:szCs w:val="32"/>
        </w:rPr>
        <w:t xml:space="preserve"> </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（十六）提升创新产品审评能力。</w:t>
      </w:r>
      <w:r>
        <w:rPr>
          <w:rFonts w:eastAsia="仿宋_GB2312" w:hint="eastAsia"/>
          <w:color w:val="000000"/>
          <w:sz w:val="32"/>
          <w:szCs w:val="32"/>
        </w:rPr>
        <w:t>紧密关注医疗器械产业最新发展，实时跟踪科技创新最新成果，主动开展前瞻性研究学习。</w:t>
      </w:r>
      <w:r>
        <w:rPr>
          <w:rFonts w:eastAsia="仿宋_GB2312" w:hint="eastAsia"/>
          <w:color w:val="000000"/>
          <w:sz w:val="32"/>
          <w:szCs w:val="32"/>
        </w:rPr>
        <w:lastRenderedPageBreak/>
        <w:t>加强与国家医疗器械审评中心、各兄弟省市中心、科研院校、医疗机构等交流合作，构建专职审评员、外部专家相互支撑的多维度立体审评体系。</w:t>
      </w:r>
      <w:r>
        <w:rPr>
          <w:rFonts w:eastAsia="仿宋_GB2312"/>
          <w:color w:val="000000"/>
          <w:sz w:val="32"/>
          <w:szCs w:val="32"/>
        </w:rPr>
        <w:t xml:space="preserve"> </w:t>
      </w:r>
    </w:p>
    <w:p w:rsidR="00B3104C" w:rsidRDefault="00B3104C" w:rsidP="00B3104C">
      <w:pPr>
        <w:overflowPunct w:val="0"/>
        <w:spacing w:line="600" w:lineRule="exact"/>
        <w:ind w:firstLineChars="150" w:firstLine="480"/>
        <w:rPr>
          <w:rFonts w:ascii="黑体" w:eastAsia="黑体" w:hAnsi="黑体"/>
          <w:color w:val="000000"/>
          <w:sz w:val="32"/>
          <w:szCs w:val="32"/>
        </w:rPr>
      </w:pPr>
      <w:r>
        <w:rPr>
          <w:rFonts w:eastAsia="仿宋_GB2312"/>
          <w:color w:val="000000"/>
          <w:sz w:val="32"/>
          <w:szCs w:val="32"/>
        </w:rPr>
        <w:t xml:space="preserve"> </w:t>
      </w:r>
      <w:r>
        <w:rPr>
          <w:rFonts w:ascii="黑体" w:eastAsia="黑体" w:hAnsi="黑体" w:hint="eastAsia"/>
          <w:color w:val="000000"/>
          <w:sz w:val="32"/>
          <w:szCs w:val="32"/>
        </w:rPr>
        <w:t>六、增强检验检测支撑能力</w:t>
      </w:r>
    </w:p>
    <w:p w:rsidR="00B3104C" w:rsidRDefault="00B3104C" w:rsidP="00B3104C">
      <w:pPr>
        <w:overflowPunct w:val="0"/>
        <w:spacing w:line="600" w:lineRule="exact"/>
        <w:ind w:firstLineChars="200" w:firstLine="640"/>
        <w:rPr>
          <w:rFonts w:eastAsia="仿宋_GB2312" w:hint="eastAsia"/>
          <w:color w:val="000000"/>
          <w:sz w:val="32"/>
          <w:szCs w:val="32"/>
        </w:rPr>
      </w:pPr>
      <w:r>
        <w:rPr>
          <w:rFonts w:ascii="楷体_GB2312" w:eastAsia="楷体_GB2312" w:hint="eastAsia"/>
          <w:bCs/>
          <w:color w:val="000000"/>
          <w:sz w:val="32"/>
          <w:szCs w:val="32"/>
        </w:rPr>
        <w:t>（十七）加强检验检测和服务能力建设。</w:t>
      </w:r>
      <w:r>
        <w:rPr>
          <w:rFonts w:eastAsia="仿宋_GB2312" w:hint="eastAsia"/>
          <w:color w:val="000000"/>
          <w:sz w:val="32"/>
          <w:szCs w:val="32"/>
        </w:rPr>
        <w:t>支持具备法定资质的检验检测机构重点拓展产品创新、产业发展所需的检验检测能力，推动检验检测机构达到国家医疗器械检验检测中心建设标准。鼓励开展医疗器械安全科技攻关、标准制定、检验检测技术、风险监测和安全评价等方面的研究工作，进一步夯实检验检测服务支撑。</w:t>
      </w:r>
    </w:p>
    <w:p w:rsidR="00B3104C" w:rsidRDefault="00B3104C" w:rsidP="00B3104C">
      <w:pPr>
        <w:overflowPunct w:val="0"/>
        <w:spacing w:line="600" w:lineRule="exact"/>
        <w:ind w:firstLineChars="150" w:firstLine="482"/>
        <w:rPr>
          <w:rFonts w:ascii="黑体" w:eastAsia="黑体" w:hAnsi="黑体"/>
          <w:b/>
          <w:color w:val="000000"/>
          <w:sz w:val="32"/>
          <w:szCs w:val="32"/>
        </w:rPr>
      </w:pPr>
      <w:r>
        <w:rPr>
          <w:rFonts w:ascii="黑体" w:eastAsia="黑体" w:hAnsi="黑体" w:hint="eastAsia"/>
          <w:b/>
          <w:color w:val="000000"/>
          <w:sz w:val="32"/>
          <w:szCs w:val="32"/>
        </w:rPr>
        <w:t xml:space="preserve"> </w:t>
      </w:r>
      <w:r>
        <w:rPr>
          <w:rFonts w:ascii="黑体" w:eastAsia="黑体" w:hAnsi="黑体" w:hint="eastAsia"/>
          <w:color w:val="000000"/>
          <w:sz w:val="32"/>
          <w:szCs w:val="32"/>
        </w:rPr>
        <w:t>七、加强信息化建设</w:t>
      </w:r>
    </w:p>
    <w:p w:rsidR="00B3104C" w:rsidRDefault="00B3104C" w:rsidP="00B3104C">
      <w:pPr>
        <w:overflowPunct w:val="0"/>
        <w:spacing w:line="600" w:lineRule="exact"/>
        <w:ind w:firstLineChars="200" w:firstLine="640"/>
        <w:rPr>
          <w:rFonts w:eastAsia="仿宋_GB2312" w:hint="eastAsia"/>
          <w:color w:val="000000"/>
          <w:kern w:val="0"/>
          <w:sz w:val="32"/>
          <w:szCs w:val="32"/>
        </w:rPr>
      </w:pPr>
      <w:r>
        <w:rPr>
          <w:rFonts w:ascii="楷体_GB2312" w:eastAsia="楷体_GB2312" w:hint="eastAsia"/>
          <w:bCs/>
          <w:color w:val="000000"/>
          <w:sz w:val="32"/>
          <w:szCs w:val="32"/>
        </w:rPr>
        <w:t>（十八）探索推进注册电子化。</w:t>
      </w:r>
      <w:r>
        <w:rPr>
          <w:rFonts w:eastAsia="仿宋_GB2312" w:hint="eastAsia"/>
          <w:color w:val="000000"/>
          <w:sz w:val="32"/>
          <w:szCs w:val="32"/>
        </w:rPr>
        <w:t>依托成都天府国际生物城、成都医学城、资阳国际口腔装备及材料产业基地等省内产业园区开展试点，推进行政审评审批电子化，逐步实现省内二类医疗器械的申报、受理、审评、审批全过程电子化，提升效率，方便企业。</w:t>
      </w:r>
      <w:r>
        <w:rPr>
          <w:rFonts w:eastAsia="仿宋_GB2312"/>
          <w:color w:val="000000"/>
          <w:kern w:val="0"/>
          <w:sz w:val="32"/>
          <w:szCs w:val="32"/>
        </w:rPr>
        <w:t xml:space="preserve"> </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（十九）建立完善注册数据库。</w:t>
      </w:r>
      <w:r>
        <w:rPr>
          <w:rFonts w:eastAsia="仿宋_GB2312" w:hint="eastAsia"/>
          <w:color w:val="000000"/>
          <w:sz w:val="32"/>
          <w:szCs w:val="32"/>
        </w:rPr>
        <w:t>建立健全我省医疗器械产品注册数据库，及时、准确掌握企业及产品情况，</w:t>
      </w:r>
      <w:r>
        <w:rPr>
          <w:rFonts w:eastAsia="仿宋_GB2312" w:hint="eastAsia"/>
          <w:color w:val="000000"/>
          <w:kern w:val="0"/>
          <w:sz w:val="32"/>
          <w:szCs w:val="32"/>
        </w:rPr>
        <w:t>充分利用大数据优化监管资源配置，提升监管能力现代化、信息化、科学化水平。</w:t>
      </w:r>
    </w:p>
    <w:p w:rsidR="00B3104C" w:rsidRDefault="00B3104C" w:rsidP="00B3104C">
      <w:pPr>
        <w:overflowPunct w:val="0"/>
        <w:spacing w:line="600" w:lineRule="exact"/>
        <w:ind w:firstLineChars="200" w:firstLine="640"/>
        <w:rPr>
          <w:rFonts w:eastAsia="仿宋_GB2312"/>
          <w:color w:val="000000"/>
          <w:sz w:val="32"/>
          <w:szCs w:val="32"/>
        </w:rPr>
      </w:pPr>
      <w:r>
        <w:rPr>
          <w:rFonts w:ascii="楷体_GB2312" w:eastAsia="楷体_GB2312" w:hint="eastAsia"/>
          <w:bCs/>
          <w:color w:val="000000"/>
          <w:sz w:val="32"/>
          <w:szCs w:val="32"/>
        </w:rPr>
        <w:t>（二十）搭建信息交流渠道。</w:t>
      </w:r>
      <w:r>
        <w:rPr>
          <w:rFonts w:eastAsia="仿宋_GB2312" w:hint="eastAsia"/>
          <w:color w:val="000000"/>
          <w:sz w:val="32"/>
          <w:szCs w:val="32"/>
        </w:rPr>
        <w:t>利用门户网站、微博、微信等，畅通企业咨询渠道。定期对沟通咨询问题进行汇总分析，共性问题予以公示。加大审评审批透明度，公示审批程序、受理条件和</w:t>
      </w:r>
      <w:r>
        <w:rPr>
          <w:rFonts w:eastAsia="仿宋_GB2312" w:hint="eastAsia"/>
          <w:color w:val="000000"/>
          <w:sz w:val="32"/>
          <w:szCs w:val="32"/>
        </w:rPr>
        <w:lastRenderedPageBreak/>
        <w:t>办理标准，公开办理进度，推动社会共享共治。</w:t>
      </w:r>
    </w:p>
    <w:p w:rsidR="004A5D52" w:rsidRDefault="004A5D52">
      <w:bookmarkStart w:id="0" w:name="_GoBack"/>
      <w:bookmarkEnd w:id="0"/>
    </w:p>
    <w:sectPr w:rsidR="004A5D52" w:rsidSect="00DA569D">
      <w:pgSz w:w="11906" w:h="16838"/>
      <w:pgMar w:top="1701" w:right="1531" w:bottom="1701" w:left="1531" w:header="709" w:footer="709"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12"/>
    <w:rsid w:val="00001CEF"/>
    <w:rsid w:val="0001009F"/>
    <w:rsid w:val="00020AE2"/>
    <w:rsid w:val="000212A7"/>
    <w:rsid w:val="00022C99"/>
    <w:rsid w:val="00024D9D"/>
    <w:rsid w:val="000453C2"/>
    <w:rsid w:val="000528FB"/>
    <w:rsid w:val="000551C8"/>
    <w:rsid w:val="00061516"/>
    <w:rsid w:val="00065F05"/>
    <w:rsid w:val="00067D44"/>
    <w:rsid w:val="00080E83"/>
    <w:rsid w:val="000843CB"/>
    <w:rsid w:val="0008483A"/>
    <w:rsid w:val="000909FC"/>
    <w:rsid w:val="00092F19"/>
    <w:rsid w:val="000954D7"/>
    <w:rsid w:val="00097836"/>
    <w:rsid w:val="000A6E7A"/>
    <w:rsid w:val="000A7172"/>
    <w:rsid w:val="000B2842"/>
    <w:rsid w:val="000B72EA"/>
    <w:rsid w:val="000B730E"/>
    <w:rsid w:val="000C3706"/>
    <w:rsid w:val="000C3D4F"/>
    <w:rsid w:val="000C535C"/>
    <w:rsid w:val="000C741B"/>
    <w:rsid w:val="000D5DB2"/>
    <w:rsid w:val="000D619C"/>
    <w:rsid w:val="000E2FAD"/>
    <w:rsid w:val="000F2784"/>
    <w:rsid w:val="00101C98"/>
    <w:rsid w:val="00102087"/>
    <w:rsid w:val="00123E55"/>
    <w:rsid w:val="00130FFB"/>
    <w:rsid w:val="001328F2"/>
    <w:rsid w:val="001353EA"/>
    <w:rsid w:val="0014730C"/>
    <w:rsid w:val="00147C25"/>
    <w:rsid w:val="00152141"/>
    <w:rsid w:val="00155695"/>
    <w:rsid w:val="00155F61"/>
    <w:rsid w:val="00156BB7"/>
    <w:rsid w:val="001576E9"/>
    <w:rsid w:val="00174BC2"/>
    <w:rsid w:val="0018138F"/>
    <w:rsid w:val="0018256E"/>
    <w:rsid w:val="001A3B8B"/>
    <w:rsid w:val="001A4E39"/>
    <w:rsid w:val="001A657A"/>
    <w:rsid w:val="001B0525"/>
    <w:rsid w:val="001B1BB7"/>
    <w:rsid w:val="001B68C8"/>
    <w:rsid w:val="001C12C7"/>
    <w:rsid w:val="001D4088"/>
    <w:rsid w:val="001D4788"/>
    <w:rsid w:val="001E625F"/>
    <w:rsid w:val="001F691E"/>
    <w:rsid w:val="00200616"/>
    <w:rsid w:val="002016E8"/>
    <w:rsid w:val="00204E9A"/>
    <w:rsid w:val="00213345"/>
    <w:rsid w:val="00227994"/>
    <w:rsid w:val="00232972"/>
    <w:rsid w:val="00234660"/>
    <w:rsid w:val="00242E54"/>
    <w:rsid w:val="00243B35"/>
    <w:rsid w:val="00245789"/>
    <w:rsid w:val="00247C57"/>
    <w:rsid w:val="00260043"/>
    <w:rsid w:val="00290759"/>
    <w:rsid w:val="002A0D4C"/>
    <w:rsid w:val="002B02A6"/>
    <w:rsid w:val="002B5BC4"/>
    <w:rsid w:val="002B6A0F"/>
    <w:rsid w:val="002B7428"/>
    <w:rsid w:val="002C10F0"/>
    <w:rsid w:val="002C7044"/>
    <w:rsid w:val="002D0603"/>
    <w:rsid w:val="002D2D4D"/>
    <w:rsid w:val="002D6975"/>
    <w:rsid w:val="002E6030"/>
    <w:rsid w:val="002E6AE4"/>
    <w:rsid w:val="003014BF"/>
    <w:rsid w:val="003073B3"/>
    <w:rsid w:val="0031230E"/>
    <w:rsid w:val="00323AD1"/>
    <w:rsid w:val="00326935"/>
    <w:rsid w:val="00326F1A"/>
    <w:rsid w:val="003316C4"/>
    <w:rsid w:val="0033336E"/>
    <w:rsid w:val="00334A99"/>
    <w:rsid w:val="00346E9F"/>
    <w:rsid w:val="003555A5"/>
    <w:rsid w:val="00356A7C"/>
    <w:rsid w:val="00367185"/>
    <w:rsid w:val="00367DD4"/>
    <w:rsid w:val="003717CF"/>
    <w:rsid w:val="003724A8"/>
    <w:rsid w:val="003737CF"/>
    <w:rsid w:val="00375104"/>
    <w:rsid w:val="00375F15"/>
    <w:rsid w:val="003909FB"/>
    <w:rsid w:val="00394ED1"/>
    <w:rsid w:val="003A48B2"/>
    <w:rsid w:val="003A71DF"/>
    <w:rsid w:val="003B2D93"/>
    <w:rsid w:val="003B41EC"/>
    <w:rsid w:val="003B70CB"/>
    <w:rsid w:val="003C0978"/>
    <w:rsid w:val="003D4DE8"/>
    <w:rsid w:val="003D6AC3"/>
    <w:rsid w:val="003E20D1"/>
    <w:rsid w:val="003E72BF"/>
    <w:rsid w:val="003F4D69"/>
    <w:rsid w:val="003F668E"/>
    <w:rsid w:val="00402291"/>
    <w:rsid w:val="00406D71"/>
    <w:rsid w:val="00422395"/>
    <w:rsid w:val="0042756A"/>
    <w:rsid w:val="00432D9A"/>
    <w:rsid w:val="00433864"/>
    <w:rsid w:val="004354A4"/>
    <w:rsid w:val="00440155"/>
    <w:rsid w:val="00442521"/>
    <w:rsid w:val="0045070E"/>
    <w:rsid w:val="00451134"/>
    <w:rsid w:val="00467D91"/>
    <w:rsid w:val="0047533D"/>
    <w:rsid w:val="00481D70"/>
    <w:rsid w:val="00481F3D"/>
    <w:rsid w:val="00485602"/>
    <w:rsid w:val="00496ADA"/>
    <w:rsid w:val="004A5D52"/>
    <w:rsid w:val="004B1437"/>
    <w:rsid w:val="004C6A65"/>
    <w:rsid w:val="004D27EA"/>
    <w:rsid w:val="004D6500"/>
    <w:rsid w:val="004D72A9"/>
    <w:rsid w:val="004D764B"/>
    <w:rsid w:val="004E4CCA"/>
    <w:rsid w:val="004F2E0B"/>
    <w:rsid w:val="004F5843"/>
    <w:rsid w:val="00502547"/>
    <w:rsid w:val="00504275"/>
    <w:rsid w:val="005042AA"/>
    <w:rsid w:val="0050480D"/>
    <w:rsid w:val="00506CB7"/>
    <w:rsid w:val="00507723"/>
    <w:rsid w:val="00507BCD"/>
    <w:rsid w:val="00513921"/>
    <w:rsid w:val="00524689"/>
    <w:rsid w:val="005325F4"/>
    <w:rsid w:val="00534799"/>
    <w:rsid w:val="00534C41"/>
    <w:rsid w:val="0053760F"/>
    <w:rsid w:val="00537FBD"/>
    <w:rsid w:val="005445F5"/>
    <w:rsid w:val="005455B1"/>
    <w:rsid w:val="00552DF2"/>
    <w:rsid w:val="00554678"/>
    <w:rsid w:val="00556758"/>
    <w:rsid w:val="00556D60"/>
    <w:rsid w:val="005602E4"/>
    <w:rsid w:val="00566EA6"/>
    <w:rsid w:val="0056708C"/>
    <w:rsid w:val="00576334"/>
    <w:rsid w:val="005764D3"/>
    <w:rsid w:val="00581CDA"/>
    <w:rsid w:val="00590393"/>
    <w:rsid w:val="00595D52"/>
    <w:rsid w:val="005A083F"/>
    <w:rsid w:val="005A4135"/>
    <w:rsid w:val="005A5D9A"/>
    <w:rsid w:val="005B1E6A"/>
    <w:rsid w:val="005B57B7"/>
    <w:rsid w:val="005B7AE0"/>
    <w:rsid w:val="005C1BB4"/>
    <w:rsid w:val="005C4049"/>
    <w:rsid w:val="005D4941"/>
    <w:rsid w:val="005E0223"/>
    <w:rsid w:val="005E380F"/>
    <w:rsid w:val="0060381F"/>
    <w:rsid w:val="00610700"/>
    <w:rsid w:val="006213BE"/>
    <w:rsid w:val="0062245A"/>
    <w:rsid w:val="00624ED1"/>
    <w:rsid w:val="00631A62"/>
    <w:rsid w:val="00636CB4"/>
    <w:rsid w:val="006373D1"/>
    <w:rsid w:val="00637A6A"/>
    <w:rsid w:val="006456AA"/>
    <w:rsid w:val="00654596"/>
    <w:rsid w:val="00661B03"/>
    <w:rsid w:val="006622B9"/>
    <w:rsid w:val="00672CC5"/>
    <w:rsid w:val="006867B3"/>
    <w:rsid w:val="006905B4"/>
    <w:rsid w:val="00691BFB"/>
    <w:rsid w:val="0069788C"/>
    <w:rsid w:val="006A06B9"/>
    <w:rsid w:val="006A0F6C"/>
    <w:rsid w:val="006A1C95"/>
    <w:rsid w:val="006A1F69"/>
    <w:rsid w:val="006A5275"/>
    <w:rsid w:val="006A5DE0"/>
    <w:rsid w:val="006B002E"/>
    <w:rsid w:val="006B2E2E"/>
    <w:rsid w:val="006B31F9"/>
    <w:rsid w:val="006B398B"/>
    <w:rsid w:val="006D0EBF"/>
    <w:rsid w:val="006D16AF"/>
    <w:rsid w:val="006D21F3"/>
    <w:rsid w:val="006D39FD"/>
    <w:rsid w:val="006E52EA"/>
    <w:rsid w:val="006E68EA"/>
    <w:rsid w:val="006E7BB4"/>
    <w:rsid w:val="006F1095"/>
    <w:rsid w:val="00702CE5"/>
    <w:rsid w:val="007143ED"/>
    <w:rsid w:val="007154FA"/>
    <w:rsid w:val="007253B9"/>
    <w:rsid w:val="00731B17"/>
    <w:rsid w:val="00737DEB"/>
    <w:rsid w:val="0074318A"/>
    <w:rsid w:val="007474DC"/>
    <w:rsid w:val="00747EA5"/>
    <w:rsid w:val="007570BC"/>
    <w:rsid w:val="0076657A"/>
    <w:rsid w:val="00766B8B"/>
    <w:rsid w:val="00767084"/>
    <w:rsid w:val="00770AD3"/>
    <w:rsid w:val="0077267B"/>
    <w:rsid w:val="00776757"/>
    <w:rsid w:val="00780DBB"/>
    <w:rsid w:val="007943B4"/>
    <w:rsid w:val="00795064"/>
    <w:rsid w:val="0079752D"/>
    <w:rsid w:val="007A0323"/>
    <w:rsid w:val="007A1174"/>
    <w:rsid w:val="007A42F2"/>
    <w:rsid w:val="007B6F89"/>
    <w:rsid w:val="007C6E40"/>
    <w:rsid w:val="007D5512"/>
    <w:rsid w:val="007D6D8E"/>
    <w:rsid w:val="007D7E6A"/>
    <w:rsid w:val="007E515C"/>
    <w:rsid w:val="007F2334"/>
    <w:rsid w:val="007F6886"/>
    <w:rsid w:val="00805E9A"/>
    <w:rsid w:val="008103E9"/>
    <w:rsid w:val="00815375"/>
    <w:rsid w:val="0081594B"/>
    <w:rsid w:val="0082263A"/>
    <w:rsid w:val="00823A9D"/>
    <w:rsid w:val="00824D81"/>
    <w:rsid w:val="00826070"/>
    <w:rsid w:val="008345FD"/>
    <w:rsid w:val="00837798"/>
    <w:rsid w:val="0084756F"/>
    <w:rsid w:val="00854BCD"/>
    <w:rsid w:val="008551C1"/>
    <w:rsid w:val="008621EB"/>
    <w:rsid w:val="008736D7"/>
    <w:rsid w:val="00876C75"/>
    <w:rsid w:val="00877746"/>
    <w:rsid w:val="00877E34"/>
    <w:rsid w:val="00880DC3"/>
    <w:rsid w:val="008853B9"/>
    <w:rsid w:val="00895978"/>
    <w:rsid w:val="008A12E7"/>
    <w:rsid w:val="008A6654"/>
    <w:rsid w:val="008A6928"/>
    <w:rsid w:val="008B7241"/>
    <w:rsid w:val="008C689F"/>
    <w:rsid w:val="008D4417"/>
    <w:rsid w:val="008E1343"/>
    <w:rsid w:val="008E1D04"/>
    <w:rsid w:val="008E38D9"/>
    <w:rsid w:val="008E3F3B"/>
    <w:rsid w:val="008E6951"/>
    <w:rsid w:val="008F290A"/>
    <w:rsid w:val="008F4862"/>
    <w:rsid w:val="008F6205"/>
    <w:rsid w:val="0090174D"/>
    <w:rsid w:val="0091521F"/>
    <w:rsid w:val="009168F2"/>
    <w:rsid w:val="009171E4"/>
    <w:rsid w:val="009204BD"/>
    <w:rsid w:val="00924D19"/>
    <w:rsid w:val="0093663F"/>
    <w:rsid w:val="009428DB"/>
    <w:rsid w:val="00947359"/>
    <w:rsid w:val="009547ED"/>
    <w:rsid w:val="00957D4E"/>
    <w:rsid w:val="0097216A"/>
    <w:rsid w:val="00977570"/>
    <w:rsid w:val="00980A13"/>
    <w:rsid w:val="00983673"/>
    <w:rsid w:val="00983F20"/>
    <w:rsid w:val="009973D3"/>
    <w:rsid w:val="009A4595"/>
    <w:rsid w:val="009C3C0F"/>
    <w:rsid w:val="009C3C96"/>
    <w:rsid w:val="009C41C1"/>
    <w:rsid w:val="009D5557"/>
    <w:rsid w:val="009D5612"/>
    <w:rsid w:val="009D71AC"/>
    <w:rsid w:val="009E12B0"/>
    <w:rsid w:val="009E2003"/>
    <w:rsid w:val="009E32F2"/>
    <w:rsid w:val="009E3FC5"/>
    <w:rsid w:val="009E6508"/>
    <w:rsid w:val="009E68DF"/>
    <w:rsid w:val="009E70D1"/>
    <w:rsid w:val="009F3496"/>
    <w:rsid w:val="00A14856"/>
    <w:rsid w:val="00A14B5C"/>
    <w:rsid w:val="00A14EB7"/>
    <w:rsid w:val="00A2723D"/>
    <w:rsid w:val="00A31AAC"/>
    <w:rsid w:val="00A351EB"/>
    <w:rsid w:val="00A3591F"/>
    <w:rsid w:val="00A435B8"/>
    <w:rsid w:val="00A53EB5"/>
    <w:rsid w:val="00A57F6C"/>
    <w:rsid w:val="00A60416"/>
    <w:rsid w:val="00A61C4E"/>
    <w:rsid w:val="00A73F17"/>
    <w:rsid w:val="00A85A4F"/>
    <w:rsid w:val="00A96A7A"/>
    <w:rsid w:val="00AA16D0"/>
    <w:rsid w:val="00AA4ACF"/>
    <w:rsid w:val="00AA54B9"/>
    <w:rsid w:val="00AA5A84"/>
    <w:rsid w:val="00AB128E"/>
    <w:rsid w:val="00AB1C51"/>
    <w:rsid w:val="00AB265A"/>
    <w:rsid w:val="00AB5E45"/>
    <w:rsid w:val="00AC37B2"/>
    <w:rsid w:val="00AD5C7E"/>
    <w:rsid w:val="00AE07D5"/>
    <w:rsid w:val="00AE5E11"/>
    <w:rsid w:val="00AE763D"/>
    <w:rsid w:val="00AF3C4C"/>
    <w:rsid w:val="00AF56A7"/>
    <w:rsid w:val="00B03549"/>
    <w:rsid w:val="00B07856"/>
    <w:rsid w:val="00B16402"/>
    <w:rsid w:val="00B166F5"/>
    <w:rsid w:val="00B2313C"/>
    <w:rsid w:val="00B25262"/>
    <w:rsid w:val="00B3104C"/>
    <w:rsid w:val="00B3365A"/>
    <w:rsid w:val="00B37D2A"/>
    <w:rsid w:val="00B47A99"/>
    <w:rsid w:val="00B47E52"/>
    <w:rsid w:val="00B60EC6"/>
    <w:rsid w:val="00B6513A"/>
    <w:rsid w:val="00B731A2"/>
    <w:rsid w:val="00B913CA"/>
    <w:rsid w:val="00B942C2"/>
    <w:rsid w:val="00B971A7"/>
    <w:rsid w:val="00BA28AC"/>
    <w:rsid w:val="00BA3C16"/>
    <w:rsid w:val="00BA57AB"/>
    <w:rsid w:val="00BA667B"/>
    <w:rsid w:val="00BA7DF5"/>
    <w:rsid w:val="00BB2543"/>
    <w:rsid w:val="00BB70EF"/>
    <w:rsid w:val="00BC09AF"/>
    <w:rsid w:val="00BC140B"/>
    <w:rsid w:val="00BC1EF9"/>
    <w:rsid w:val="00BC4E87"/>
    <w:rsid w:val="00BC545B"/>
    <w:rsid w:val="00BC7CD8"/>
    <w:rsid w:val="00BD03BA"/>
    <w:rsid w:val="00BD14A5"/>
    <w:rsid w:val="00BD34BC"/>
    <w:rsid w:val="00BD48F1"/>
    <w:rsid w:val="00BD4E53"/>
    <w:rsid w:val="00BE01DF"/>
    <w:rsid w:val="00BF5D21"/>
    <w:rsid w:val="00C0133E"/>
    <w:rsid w:val="00C030B8"/>
    <w:rsid w:val="00C06AB8"/>
    <w:rsid w:val="00C1245C"/>
    <w:rsid w:val="00C15C6E"/>
    <w:rsid w:val="00C16001"/>
    <w:rsid w:val="00C205F0"/>
    <w:rsid w:val="00C238C3"/>
    <w:rsid w:val="00C30159"/>
    <w:rsid w:val="00C32E65"/>
    <w:rsid w:val="00C345F2"/>
    <w:rsid w:val="00C37912"/>
    <w:rsid w:val="00C43B0F"/>
    <w:rsid w:val="00C45203"/>
    <w:rsid w:val="00C5487A"/>
    <w:rsid w:val="00C55A55"/>
    <w:rsid w:val="00C63CE0"/>
    <w:rsid w:val="00C65584"/>
    <w:rsid w:val="00C7170A"/>
    <w:rsid w:val="00C75F42"/>
    <w:rsid w:val="00C83132"/>
    <w:rsid w:val="00C96659"/>
    <w:rsid w:val="00C96AD0"/>
    <w:rsid w:val="00CA2260"/>
    <w:rsid w:val="00CB21EE"/>
    <w:rsid w:val="00CB30D0"/>
    <w:rsid w:val="00CB748E"/>
    <w:rsid w:val="00CB7E59"/>
    <w:rsid w:val="00CC37B4"/>
    <w:rsid w:val="00CC5125"/>
    <w:rsid w:val="00CD1AD6"/>
    <w:rsid w:val="00CD3D79"/>
    <w:rsid w:val="00CD4D7F"/>
    <w:rsid w:val="00CD7141"/>
    <w:rsid w:val="00CD7A8E"/>
    <w:rsid w:val="00CE0FBF"/>
    <w:rsid w:val="00CE3A35"/>
    <w:rsid w:val="00CF3C05"/>
    <w:rsid w:val="00D1523B"/>
    <w:rsid w:val="00D26A90"/>
    <w:rsid w:val="00D3261F"/>
    <w:rsid w:val="00D37F2D"/>
    <w:rsid w:val="00D43EC7"/>
    <w:rsid w:val="00D47B47"/>
    <w:rsid w:val="00D52FAC"/>
    <w:rsid w:val="00D5555C"/>
    <w:rsid w:val="00D60E22"/>
    <w:rsid w:val="00D61A44"/>
    <w:rsid w:val="00D67008"/>
    <w:rsid w:val="00D73AFF"/>
    <w:rsid w:val="00D818FF"/>
    <w:rsid w:val="00D9400D"/>
    <w:rsid w:val="00DA2360"/>
    <w:rsid w:val="00DA569D"/>
    <w:rsid w:val="00DB0612"/>
    <w:rsid w:val="00DB2CDF"/>
    <w:rsid w:val="00DB4BBC"/>
    <w:rsid w:val="00DB6FD5"/>
    <w:rsid w:val="00DC336B"/>
    <w:rsid w:val="00DC473F"/>
    <w:rsid w:val="00DC7774"/>
    <w:rsid w:val="00DC7D95"/>
    <w:rsid w:val="00DE3DCF"/>
    <w:rsid w:val="00DF2545"/>
    <w:rsid w:val="00DF56A2"/>
    <w:rsid w:val="00E07AE9"/>
    <w:rsid w:val="00E10AB7"/>
    <w:rsid w:val="00E20BAF"/>
    <w:rsid w:val="00E23681"/>
    <w:rsid w:val="00E25E77"/>
    <w:rsid w:val="00E3555B"/>
    <w:rsid w:val="00E35982"/>
    <w:rsid w:val="00E42B6B"/>
    <w:rsid w:val="00E47B33"/>
    <w:rsid w:val="00E50732"/>
    <w:rsid w:val="00E54B4E"/>
    <w:rsid w:val="00E55F10"/>
    <w:rsid w:val="00E67998"/>
    <w:rsid w:val="00E71DBE"/>
    <w:rsid w:val="00E73265"/>
    <w:rsid w:val="00E75BEE"/>
    <w:rsid w:val="00E77090"/>
    <w:rsid w:val="00E85C23"/>
    <w:rsid w:val="00E879AD"/>
    <w:rsid w:val="00E90BA5"/>
    <w:rsid w:val="00E90C70"/>
    <w:rsid w:val="00E91591"/>
    <w:rsid w:val="00E92191"/>
    <w:rsid w:val="00E9312F"/>
    <w:rsid w:val="00E96B90"/>
    <w:rsid w:val="00EA2EBF"/>
    <w:rsid w:val="00EA30AD"/>
    <w:rsid w:val="00EA320E"/>
    <w:rsid w:val="00EA451C"/>
    <w:rsid w:val="00EB3E31"/>
    <w:rsid w:val="00EB3F6D"/>
    <w:rsid w:val="00ED1888"/>
    <w:rsid w:val="00ED5914"/>
    <w:rsid w:val="00ED7854"/>
    <w:rsid w:val="00ED7AFC"/>
    <w:rsid w:val="00EE3EED"/>
    <w:rsid w:val="00EE7779"/>
    <w:rsid w:val="00EF19BB"/>
    <w:rsid w:val="00EF2A97"/>
    <w:rsid w:val="00EF6576"/>
    <w:rsid w:val="00F027BD"/>
    <w:rsid w:val="00F215D5"/>
    <w:rsid w:val="00F2669E"/>
    <w:rsid w:val="00F30B55"/>
    <w:rsid w:val="00F3366F"/>
    <w:rsid w:val="00F44C80"/>
    <w:rsid w:val="00F45605"/>
    <w:rsid w:val="00F50805"/>
    <w:rsid w:val="00F520C3"/>
    <w:rsid w:val="00F560A5"/>
    <w:rsid w:val="00F634ED"/>
    <w:rsid w:val="00F6406E"/>
    <w:rsid w:val="00F71083"/>
    <w:rsid w:val="00F80298"/>
    <w:rsid w:val="00F824CD"/>
    <w:rsid w:val="00F83819"/>
    <w:rsid w:val="00F851B8"/>
    <w:rsid w:val="00F9376A"/>
    <w:rsid w:val="00FA1CD6"/>
    <w:rsid w:val="00FA47CC"/>
    <w:rsid w:val="00FA62C9"/>
    <w:rsid w:val="00FB75BE"/>
    <w:rsid w:val="00FC1BA0"/>
    <w:rsid w:val="00FC72C4"/>
    <w:rsid w:val="00FD1998"/>
    <w:rsid w:val="00FD33BC"/>
    <w:rsid w:val="00FD513F"/>
    <w:rsid w:val="00FE00D2"/>
    <w:rsid w:val="00FE2847"/>
    <w:rsid w:val="00FE48C0"/>
    <w:rsid w:val="00FF0D0B"/>
    <w:rsid w:val="00FF0D3B"/>
    <w:rsid w:val="00FF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C209-71EC-4D06-8BB7-47721AC8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0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4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0</DocSecurity>
  <Lines>25</Lines>
  <Paragraphs>7</Paragraphs>
  <ScaleCrop>false</ScaleCrop>
  <Company>Microsoft</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3</cp:revision>
  <dcterms:created xsi:type="dcterms:W3CDTF">2020-01-19T08:58:00Z</dcterms:created>
  <dcterms:modified xsi:type="dcterms:W3CDTF">2020-01-19T08:58:00Z</dcterms:modified>
</cp:coreProperties>
</file>