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3B" w:rsidRPr="00462D90" w:rsidRDefault="00CD6EA5" w:rsidP="00AC6488">
      <w:pPr>
        <w:spacing w:line="440" w:lineRule="exact"/>
        <w:jc w:val="center"/>
        <w:rPr>
          <w:rFonts w:ascii="宋体" w:eastAsia="宋体" w:hAnsi="宋体"/>
          <w:b/>
          <w:sz w:val="32"/>
          <w:szCs w:val="32"/>
        </w:rPr>
      </w:pPr>
      <w:r w:rsidRPr="00462D90">
        <w:rPr>
          <w:rFonts w:ascii="宋体" w:eastAsia="宋体" w:hAnsi="宋体" w:hint="eastAsia"/>
          <w:b/>
          <w:sz w:val="32"/>
          <w:szCs w:val="32"/>
        </w:rPr>
        <w:t>对</w:t>
      </w:r>
      <w:r w:rsidR="00981741" w:rsidRPr="00981741">
        <w:rPr>
          <w:rFonts w:ascii="宋体" w:eastAsia="宋体" w:hAnsi="宋体" w:hint="eastAsia"/>
          <w:b/>
          <w:sz w:val="32"/>
          <w:szCs w:val="32"/>
        </w:rPr>
        <w:t>成都金凯龙科技有限责任公司</w:t>
      </w:r>
      <w:r w:rsidRPr="00462D90">
        <w:rPr>
          <w:rFonts w:ascii="宋体" w:eastAsia="宋体" w:hAnsi="宋体" w:hint="eastAsia"/>
          <w:b/>
          <w:sz w:val="32"/>
          <w:szCs w:val="32"/>
        </w:rPr>
        <w:t>的飞</w:t>
      </w:r>
      <w:r w:rsidR="008925C7" w:rsidRPr="00462D90">
        <w:rPr>
          <w:rFonts w:ascii="宋体" w:eastAsia="宋体" w:hAnsi="宋体" w:hint="eastAsia"/>
          <w:b/>
          <w:sz w:val="32"/>
          <w:szCs w:val="32"/>
        </w:rPr>
        <w:t>行</w:t>
      </w:r>
      <w:r w:rsidRPr="00462D90">
        <w:rPr>
          <w:rFonts w:ascii="宋体" w:eastAsia="宋体" w:hAnsi="宋体"/>
          <w:b/>
          <w:sz w:val="32"/>
          <w:szCs w:val="32"/>
        </w:rPr>
        <w:t>检</w:t>
      </w:r>
      <w:r w:rsidR="008925C7" w:rsidRPr="00462D90">
        <w:rPr>
          <w:rFonts w:ascii="宋体" w:eastAsia="宋体" w:hAnsi="宋体" w:hint="eastAsia"/>
          <w:b/>
          <w:sz w:val="32"/>
          <w:szCs w:val="32"/>
        </w:rPr>
        <w:t>查</w:t>
      </w:r>
      <w:r w:rsidRPr="00462D90">
        <w:rPr>
          <w:rFonts w:ascii="宋体" w:eastAsia="宋体" w:hAnsi="宋体" w:hint="eastAsia"/>
          <w:b/>
          <w:sz w:val="32"/>
          <w:szCs w:val="32"/>
        </w:rPr>
        <w:t>通报</w:t>
      </w:r>
    </w:p>
    <w:p w:rsidR="00B515F9" w:rsidRPr="00B515F9" w:rsidRDefault="00B515F9" w:rsidP="00B515F9">
      <w:pPr>
        <w:spacing w:line="440" w:lineRule="exact"/>
        <w:jc w:val="right"/>
        <w:rPr>
          <w:rFonts w:ascii="宋体" w:eastAsia="宋体" w:hAnsi="宋体"/>
          <w:sz w:val="24"/>
          <w:szCs w:val="32"/>
        </w:rPr>
      </w:pPr>
      <w:r w:rsidRPr="00B515F9">
        <w:rPr>
          <w:rFonts w:ascii="宋体" w:eastAsia="宋体" w:hAnsi="宋体" w:hint="eastAsia"/>
          <w:sz w:val="24"/>
          <w:szCs w:val="32"/>
        </w:rPr>
        <w:t>编号</w:t>
      </w:r>
      <w:r w:rsidRPr="00B515F9">
        <w:rPr>
          <w:rFonts w:ascii="宋体" w:eastAsia="宋体" w:hAnsi="宋体"/>
          <w:sz w:val="24"/>
          <w:szCs w:val="32"/>
        </w:rPr>
        <w:t>：</w:t>
      </w:r>
      <w:r w:rsidR="008E5754">
        <w:rPr>
          <w:rFonts w:ascii="宋体" w:eastAsia="宋体" w:hAnsi="宋体" w:hint="eastAsia"/>
          <w:sz w:val="24"/>
          <w:szCs w:val="32"/>
        </w:rPr>
        <w:t>2190</w:t>
      </w:r>
      <w:r w:rsidR="00981741">
        <w:rPr>
          <w:rFonts w:ascii="宋体" w:eastAsia="宋体" w:hAnsi="宋体"/>
          <w:sz w:val="24"/>
          <w:szCs w:val="32"/>
        </w:rPr>
        <w:t>25</w:t>
      </w:r>
    </w:p>
    <w:tbl>
      <w:tblPr>
        <w:tblStyle w:val="a7"/>
        <w:tblW w:w="8371" w:type="dxa"/>
        <w:jc w:val="center"/>
        <w:tblLook w:val="04A0" w:firstRow="1" w:lastRow="0" w:firstColumn="1" w:lastColumn="0" w:noHBand="0" w:noVBand="1"/>
      </w:tblPr>
      <w:tblGrid>
        <w:gridCol w:w="1271"/>
        <w:gridCol w:w="284"/>
        <w:gridCol w:w="2551"/>
        <w:gridCol w:w="2144"/>
        <w:gridCol w:w="2121"/>
      </w:tblGrid>
      <w:tr w:rsidR="007E4F3B" w:rsidTr="00073270">
        <w:trPr>
          <w:trHeight w:val="357"/>
          <w:jc w:val="center"/>
        </w:trPr>
        <w:tc>
          <w:tcPr>
            <w:tcW w:w="1555" w:type="dxa"/>
            <w:gridSpan w:val="2"/>
            <w:vAlign w:val="center"/>
          </w:tcPr>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企业</w:t>
            </w:r>
            <w:r w:rsidRPr="002164EA">
              <w:rPr>
                <w:rFonts w:ascii="仿宋" w:eastAsia="仿宋" w:hAnsi="仿宋"/>
                <w:sz w:val="24"/>
                <w:szCs w:val="24"/>
              </w:rPr>
              <w:t>名称</w:t>
            </w:r>
          </w:p>
        </w:tc>
        <w:tc>
          <w:tcPr>
            <w:tcW w:w="2551" w:type="dxa"/>
            <w:vAlign w:val="center"/>
          </w:tcPr>
          <w:p w:rsidR="007E4F3B" w:rsidRPr="002164EA" w:rsidRDefault="00981741" w:rsidP="00B515F9">
            <w:pPr>
              <w:spacing w:line="460" w:lineRule="exact"/>
              <w:rPr>
                <w:rFonts w:ascii="仿宋" w:eastAsia="仿宋" w:hAnsi="仿宋"/>
                <w:sz w:val="24"/>
                <w:szCs w:val="24"/>
              </w:rPr>
            </w:pPr>
            <w:r w:rsidRPr="00981741">
              <w:rPr>
                <w:rFonts w:ascii="仿宋" w:eastAsia="仿宋" w:hAnsi="仿宋" w:hint="eastAsia"/>
                <w:sz w:val="24"/>
                <w:szCs w:val="24"/>
              </w:rPr>
              <w:t>成都金凯龙科技有限责任公司</w:t>
            </w:r>
          </w:p>
        </w:tc>
        <w:tc>
          <w:tcPr>
            <w:tcW w:w="2144" w:type="dxa"/>
            <w:vAlign w:val="center"/>
          </w:tcPr>
          <w:p w:rsidR="007E4F3B" w:rsidRPr="002164EA" w:rsidRDefault="007E4F3B" w:rsidP="00B515F9">
            <w:pPr>
              <w:spacing w:line="460" w:lineRule="exact"/>
              <w:ind w:firstLineChars="50" w:firstLine="120"/>
              <w:rPr>
                <w:rFonts w:ascii="仿宋" w:eastAsia="仿宋" w:hAnsi="仿宋"/>
                <w:sz w:val="24"/>
                <w:szCs w:val="24"/>
              </w:rPr>
            </w:pPr>
            <w:r w:rsidRPr="002164EA">
              <w:rPr>
                <w:rFonts w:ascii="仿宋" w:eastAsia="仿宋" w:hAnsi="仿宋" w:hint="eastAsia"/>
                <w:sz w:val="24"/>
                <w:szCs w:val="24"/>
              </w:rPr>
              <w:t>企业</w:t>
            </w:r>
            <w:r w:rsidRPr="002164EA">
              <w:rPr>
                <w:rFonts w:ascii="仿宋" w:eastAsia="仿宋" w:hAnsi="仿宋"/>
                <w:sz w:val="24"/>
                <w:szCs w:val="24"/>
              </w:rPr>
              <w:t>法定代表人</w:t>
            </w:r>
          </w:p>
        </w:tc>
        <w:tc>
          <w:tcPr>
            <w:tcW w:w="2121" w:type="dxa"/>
            <w:vAlign w:val="center"/>
          </w:tcPr>
          <w:p w:rsidR="007E4F3B" w:rsidRPr="002164EA" w:rsidRDefault="00981741" w:rsidP="00073270">
            <w:pPr>
              <w:spacing w:line="460" w:lineRule="exact"/>
              <w:jc w:val="center"/>
              <w:rPr>
                <w:rFonts w:ascii="仿宋" w:eastAsia="仿宋" w:hAnsi="仿宋"/>
                <w:sz w:val="24"/>
                <w:szCs w:val="24"/>
              </w:rPr>
            </w:pPr>
            <w:r w:rsidRPr="00981741">
              <w:rPr>
                <w:rFonts w:ascii="仿宋" w:eastAsia="仿宋" w:hAnsi="仿宋" w:hint="eastAsia"/>
                <w:sz w:val="24"/>
                <w:szCs w:val="24"/>
              </w:rPr>
              <w:t>邵成</w:t>
            </w:r>
          </w:p>
        </w:tc>
      </w:tr>
      <w:tr w:rsidR="007E4F3B" w:rsidTr="00073270">
        <w:trPr>
          <w:trHeight w:val="357"/>
          <w:jc w:val="center"/>
        </w:trPr>
        <w:tc>
          <w:tcPr>
            <w:tcW w:w="1555" w:type="dxa"/>
            <w:gridSpan w:val="2"/>
            <w:vAlign w:val="center"/>
          </w:tcPr>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化</w:t>
            </w:r>
            <w:r w:rsidRPr="002164EA">
              <w:rPr>
                <w:rFonts w:ascii="仿宋" w:eastAsia="仿宋" w:hAnsi="仿宋"/>
                <w:sz w:val="24"/>
                <w:szCs w:val="24"/>
              </w:rPr>
              <w:t>妆品生产许可证编号</w:t>
            </w:r>
          </w:p>
        </w:tc>
        <w:tc>
          <w:tcPr>
            <w:tcW w:w="2551" w:type="dxa"/>
            <w:vAlign w:val="center"/>
          </w:tcPr>
          <w:p w:rsidR="007E4F3B" w:rsidRPr="002164EA" w:rsidRDefault="00981741" w:rsidP="00073270">
            <w:pPr>
              <w:spacing w:line="460" w:lineRule="exact"/>
              <w:jc w:val="center"/>
              <w:rPr>
                <w:rFonts w:ascii="仿宋" w:eastAsia="仿宋" w:hAnsi="仿宋"/>
                <w:sz w:val="24"/>
                <w:szCs w:val="24"/>
              </w:rPr>
            </w:pPr>
            <w:r w:rsidRPr="00981741">
              <w:rPr>
                <w:rFonts w:ascii="仿宋" w:eastAsia="仿宋" w:hAnsi="仿宋" w:hint="eastAsia"/>
                <w:sz w:val="24"/>
                <w:szCs w:val="24"/>
              </w:rPr>
              <w:t>川妆</w:t>
            </w:r>
            <w:r w:rsidRPr="00981741">
              <w:rPr>
                <w:rFonts w:ascii="仿宋" w:eastAsia="仿宋" w:hAnsi="仿宋"/>
                <w:sz w:val="24"/>
                <w:szCs w:val="24"/>
              </w:rPr>
              <w:t>20160014</w:t>
            </w:r>
          </w:p>
        </w:tc>
        <w:tc>
          <w:tcPr>
            <w:tcW w:w="2144" w:type="dxa"/>
            <w:vAlign w:val="center"/>
          </w:tcPr>
          <w:p w:rsidR="007E4F3B" w:rsidRPr="002164EA" w:rsidRDefault="007E4F3B" w:rsidP="00B515F9">
            <w:pPr>
              <w:spacing w:line="460" w:lineRule="exact"/>
              <w:ind w:firstLineChars="100" w:firstLine="240"/>
              <w:rPr>
                <w:rFonts w:ascii="仿宋" w:eastAsia="仿宋" w:hAnsi="仿宋"/>
                <w:sz w:val="24"/>
                <w:szCs w:val="24"/>
              </w:rPr>
            </w:pPr>
            <w:r w:rsidRPr="002164EA">
              <w:rPr>
                <w:rFonts w:ascii="仿宋" w:eastAsia="仿宋" w:hAnsi="仿宋" w:hint="eastAsia"/>
                <w:sz w:val="24"/>
                <w:szCs w:val="24"/>
              </w:rPr>
              <w:t>社</w:t>
            </w:r>
            <w:r w:rsidRPr="002164EA">
              <w:rPr>
                <w:rFonts w:ascii="仿宋" w:eastAsia="仿宋" w:hAnsi="仿宋"/>
                <w:sz w:val="24"/>
                <w:szCs w:val="24"/>
              </w:rPr>
              <w:t>会信用代码</w:t>
            </w:r>
          </w:p>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（组织</w:t>
            </w:r>
            <w:r w:rsidRPr="002164EA">
              <w:rPr>
                <w:rFonts w:ascii="仿宋" w:eastAsia="仿宋" w:hAnsi="仿宋"/>
                <w:sz w:val="24"/>
                <w:szCs w:val="24"/>
              </w:rPr>
              <w:t>机构</w:t>
            </w:r>
            <w:r w:rsidRPr="002164EA">
              <w:rPr>
                <w:rFonts w:ascii="仿宋" w:eastAsia="仿宋" w:hAnsi="仿宋" w:hint="eastAsia"/>
                <w:sz w:val="24"/>
                <w:szCs w:val="24"/>
              </w:rPr>
              <w:t>代码</w:t>
            </w:r>
            <w:r w:rsidRPr="002164EA">
              <w:rPr>
                <w:rFonts w:ascii="仿宋" w:eastAsia="仿宋" w:hAnsi="仿宋"/>
                <w:sz w:val="24"/>
                <w:szCs w:val="24"/>
              </w:rPr>
              <w:t>）</w:t>
            </w:r>
          </w:p>
        </w:tc>
        <w:tc>
          <w:tcPr>
            <w:tcW w:w="2121" w:type="dxa"/>
            <w:vAlign w:val="center"/>
          </w:tcPr>
          <w:p w:rsidR="007E4F3B" w:rsidRPr="002164EA" w:rsidRDefault="00981741" w:rsidP="00C67505">
            <w:pPr>
              <w:spacing w:line="460" w:lineRule="exact"/>
              <w:jc w:val="center"/>
              <w:rPr>
                <w:rFonts w:ascii="仿宋" w:eastAsia="仿宋" w:hAnsi="仿宋"/>
                <w:sz w:val="24"/>
                <w:szCs w:val="24"/>
              </w:rPr>
            </w:pPr>
            <w:r>
              <w:rPr>
                <w:rFonts w:ascii="仿宋" w:eastAsia="仿宋" w:hAnsi="仿宋"/>
                <w:sz w:val="24"/>
                <w:szCs w:val="24"/>
              </w:rPr>
              <w:t>564458332</w:t>
            </w:r>
          </w:p>
        </w:tc>
      </w:tr>
      <w:tr w:rsidR="007E4F3B" w:rsidTr="00073270">
        <w:trPr>
          <w:trHeight w:val="357"/>
          <w:jc w:val="center"/>
        </w:trPr>
        <w:tc>
          <w:tcPr>
            <w:tcW w:w="1555" w:type="dxa"/>
            <w:gridSpan w:val="2"/>
            <w:vAlign w:val="center"/>
          </w:tcPr>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企业</w:t>
            </w:r>
            <w:r w:rsidRPr="002164EA">
              <w:rPr>
                <w:rFonts w:ascii="仿宋" w:eastAsia="仿宋" w:hAnsi="仿宋"/>
                <w:sz w:val="24"/>
                <w:szCs w:val="24"/>
              </w:rPr>
              <w:t>负责人</w:t>
            </w:r>
          </w:p>
        </w:tc>
        <w:tc>
          <w:tcPr>
            <w:tcW w:w="2551" w:type="dxa"/>
            <w:vAlign w:val="center"/>
          </w:tcPr>
          <w:p w:rsidR="007E4F3B" w:rsidRPr="002164EA" w:rsidRDefault="00981741" w:rsidP="00073270">
            <w:pPr>
              <w:spacing w:line="460" w:lineRule="exact"/>
              <w:jc w:val="center"/>
              <w:rPr>
                <w:rFonts w:ascii="仿宋" w:eastAsia="仿宋" w:hAnsi="仿宋"/>
                <w:sz w:val="24"/>
                <w:szCs w:val="24"/>
              </w:rPr>
            </w:pPr>
            <w:r w:rsidRPr="00981741">
              <w:rPr>
                <w:rFonts w:ascii="仿宋" w:eastAsia="仿宋" w:hAnsi="仿宋" w:hint="eastAsia"/>
                <w:sz w:val="24"/>
                <w:szCs w:val="24"/>
              </w:rPr>
              <w:t>邵成</w:t>
            </w:r>
          </w:p>
        </w:tc>
        <w:tc>
          <w:tcPr>
            <w:tcW w:w="2144" w:type="dxa"/>
            <w:vAlign w:val="center"/>
          </w:tcPr>
          <w:p w:rsidR="007E4F3B" w:rsidRPr="002164EA" w:rsidRDefault="007E4F3B" w:rsidP="00B515F9">
            <w:pPr>
              <w:spacing w:line="460" w:lineRule="exact"/>
              <w:ind w:firstLineChars="100" w:firstLine="240"/>
              <w:rPr>
                <w:rFonts w:ascii="仿宋" w:eastAsia="仿宋" w:hAnsi="仿宋"/>
                <w:sz w:val="24"/>
                <w:szCs w:val="24"/>
              </w:rPr>
            </w:pPr>
            <w:r w:rsidRPr="002164EA">
              <w:rPr>
                <w:rFonts w:ascii="仿宋" w:eastAsia="仿宋" w:hAnsi="仿宋" w:hint="eastAsia"/>
                <w:sz w:val="24"/>
                <w:szCs w:val="24"/>
              </w:rPr>
              <w:t>质量</w:t>
            </w:r>
            <w:r w:rsidRPr="002164EA">
              <w:rPr>
                <w:rFonts w:ascii="仿宋" w:eastAsia="仿宋" w:hAnsi="仿宋"/>
                <w:sz w:val="24"/>
                <w:szCs w:val="24"/>
              </w:rPr>
              <w:t>负责</w:t>
            </w:r>
            <w:r w:rsidRPr="002164EA">
              <w:rPr>
                <w:rFonts w:ascii="仿宋" w:eastAsia="仿宋" w:hAnsi="仿宋" w:hint="eastAsia"/>
                <w:sz w:val="24"/>
                <w:szCs w:val="24"/>
              </w:rPr>
              <w:t>人</w:t>
            </w:r>
          </w:p>
        </w:tc>
        <w:tc>
          <w:tcPr>
            <w:tcW w:w="2121" w:type="dxa"/>
            <w:vAlign w:val="center"/>
          </w:tcPr>
          <w:p w:rsidR="007E4F3B" w:rsidRPr="002164EA" w:rsidRDefault="00981741" w:rsidP="00073270">
            <w:pPr>
              <w:spacing w:line="460" w:lineRule="exact"/>
              <w:jc w:val="center"/>
              <w:rPr>
                <w:rFonts w:ascii="仿宋" w:eastAsia="仿宋" w:hAnsi="仿宋"/>
                <w:sz w:val="24"/>
                <w:szCs w:val="24"/>
              </w:rPr>
            </w:pPr>
            <w:r w:rsidRPr="00981741">
              <w:rPr>
                <w:rFonts w:ascii="仿宋" w:eastAsia="仿宋" w:hAnsi="仿宋" w:hint="eastAsia"/>
                <w:sz w:val="24"/>
                <w:szCs w:val="24"/>
              </w:rPr>
              <w:t>刘武</w:t>
            </w:r>
          </w:p>
        </w:tc>
      </w:tr>
      <w:tr w:rsidR="007E4F3B" w:rsidTr="00073270">
        <w:trPr>
          <w:trHeight w:val="375"/>
          <w:jc w:val="center"/>
        </w:trPr>
        <w:tc>
          <w:tcPr>
            <w:tcW w:w="1555" w:type="dxa"/>
            <w:gridSpan w:val="2"/>
            <w:vAlign w:val="center"/>
          </w:tcPr>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企业</w:t>
            </w:r>
            <w:r w:rsidRPr="002164EA">
              <w:rPr>
                <w:rFonts w:ascii="仿宋" w:eastAsia="仿宋" w:hAnsi="仿宋"/>
                <w:sz w:val="24"/>
                <w:szCs w:val="24"/>
              </w:rPr>
              <w:t>地址</w:t>
            </w:r>
          </w:p>
        </w:tc>
        <w:tc>
          <w:tcPr>
            <w:tcW w:w="6816" w:type="dxa"/>
            <w:gridSpan w:val="3"/>
            <w:vAlign w:val="center"/>
          </w:tcPr>
          <w:p w:rsidR="007E4F3B" w:rsidRPr="002164EA" w:rsidRDefault="00981741" w:rsidP="00B515F9">
            <w:pPr>
              <w:spacing w:line="460" w:lineRule="exact"/>
              <w:ind w:firstLineChars="550" w:firstLine="1320"/>
              <w:rPr>
                <w:rFonts w:ascii="仿宋" w:eastAsia="仿宋" w:hAnsi="仿宋"/>
                <w:sz w:val="24"/>
                <w:szCs w:val="24"/>
              </w:rPr>
            </w:pPr>
            <w:r w:rsidRPr="00981741">
              <w:rPr>
                <w:rFonts w:ascii="仿宋" w:eastAsia="仿宋" w:hAnsi="仿宋" w:hint="eastAsia"/>
                <w:sz w:val="24"/>
                <w:szCs w:val="24"/>
              </w:rPr>
              <w:t>成都双流区西航港开发区腾飞二路</w:t>
            </w:r>
            <w:r w:rsidRPr="00981741">
              <w:rPr>
                <w:rFonts w:ascii="仿宋" w:eastAsia="仿宋" w:hAnsi="仿宋"/>
                <w:sz w:val="24"/>
                <w:szCs w:val="24"/>
              </w:rPr>
              <w:t>486号</w:t>
            </w:r>
          </w:p>
        </w:tc>
      </w:tr>
      <w:tr w:rsidR="007E4F3B" w:rsidTr="00B515F9">
        <w:trPr>
          <w:trHeight w:val="357"/>
          <w:jc w:val="center"/>
        </w:trPr>
        <w:tc>
          <w:tcPr>
            <w:tcW w:w="1555" w:type="dxa"/>
            <w:gridSpan w:val="2"/>
          </w:tcPr>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检查</w:t>
            </w:r>
            <w:r w:rsidRPr="002164EA">
              <w:rPr>
                <w:rFonts w:ascii="仿宋" w:eastAsia="仿宋" w:hAnsi="仿宋"/>
                <w:sz w:val="24"/>
                <w:szCs w:val="24"/>
              </w:rPr>
              <w:t>单位</w:t>
            </w:r>
          </w:p>
        </w:tc>
        <w:tc>
          <w:tcPr>
            <w:tcW w:w="6816" w:type="dxa"/>
            <w:gridSpan w:val="3"/>
          </w:tcPr>
          <w:p w:rsidR="007E4F3B" w:rsidRDefault="007E4F3B" w:rsidP="00B515F9">
            <w:pPr>
              <w:spacing w:line="460" w:lineRule="exact"/>
              <w:ind w:firstLineChars="650" w:firstLine="1560"/>
              <w:rPr>
                <w:rFonts w:ascii="仿宋" w:eastAsia="仿宋" w:hAnsi="仿宋"/>
                <w:sz w:val="24"/>
                <w:szCs w:val="24"/>
              </w:rPr>
            </w:pPr>
            <w:r w:rsidRPr="002164EA">
              <w:rPr>
                <w:rFonts w:ascii="仿宋" w:eastAsia="仿宋" w:hAnsi="仿宋" w:hint="eastAsia"/>
                <w:sz w:val="24"/>
                <w:szCs w:val="24"/>
              </w:rPr>
              <w:t>四</w:t>
            </w:r>
            <w:r w:rsidRPr="002164EA">
              <w:rPr>
                <w:rFonts w:ascii="仿宋" w:eastAsia="仿宋" w:hAnsi="仿宋"/>
                <w:sz w:val="24"/>
                <w:szCs w:val="24"/>
              </w:rPr>
              <w:t>川省药品监督管理局</w:t>
            </w:r>
          </w:p>
          <w:p w:rsidR="00462D90" w:rsidRPr="002164EA" w:rsidRDefault="00462D90" w:rsidP="00462D90">
            <w:pPr>
              <w:spacing w:line="460" w:lineRule="exact"/>
              <w:ind w:firstLineChars="300" w:firstLine="720"/>
              <w:rPr>
                <w:rFonts w:ascii="仿宋" w:eastAsia="仿宋" w:hAnsi="仿宋"/>
                <w:sz w:val="24"/>
                <w:szCs w:val="24"/>
              </w:rPr>
            </w:pPr>
            <w:r w:rsidRPr="00462D90">
              <w:rPr>
                <w:rFonts w:ascii="仿宋" w:eastAsia="仿宋" w:hAnsi="仿宋" w:hint="eastAsia"/>
                <w:sz w:val="24"/>
                <w:szCs w:val="24"/>
              </w:rPr>
              <w:t>四川省食品药品审查评价及安全监测中心</w:t>
            </w:r>
          </w:p>
        </w:tc>
      </w:tr>
      <w:tr w:rsidR="007E4F3B" w:rsidTr="00B515F9">
        <w:trPr>
          <w:trHeight w:val="375"/>
          <w:jc w:val="center"/>
        </w:trPr>
        <w:tc>
          <w:tcPr>
            <w:tcW w:w="1555" w:type="dxa"/>
            <w:gridSpan w:val="2"/>
          </w:tcPr>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检查</w:t>
            </w:r>
            <w:r w:rsidRPr="002164EA">
              <w:rPr>
                <w:rFonts w:ascii="仿宋" w:eastAsia="仿宋" w:hAnsi="仿宋"/>
                <w:sz w:val="24"/>
                <w:szCs w:val="24"/>
              </w:rPr>
              <w:t>依据</w:t>
            </w:r>
          </w:p>
        </w:tc>
        <w:tc>
          <w:tcPr>
            <w:tcW w:w="6816" w:type="dxa"/>
            <w:gridSpan w:val="3"/>
          </w:tcPr>
          <w:p w:rsidR="007E4F3B" w:rsidRPr="002164EA" w:rsidRDefault="007E4F3B" w:rsidP="00B515F9">
            <w:pPr>
              <w:spacing w:line="460" w:lineRule="exact"/>
              <w:ind w:firstLineChars="500" w:firstLine="1200"/>
              <w:rPr>
                <w:rFonts w:ascii="仿宋" w:eastAsia="仿宋" w:hAnsi="仿宋"/>
                <w:sz w:val="24"/>
                <w:szCs w:val="24"/>
              </w:rPr>
            </w:pPr>
            <w:r w:rsidRPr="002164EA">
              <w:rPr>
                <w:rFonts w:ascii="仿宋" w:eastAsia="仿宋" w:hAnsi="仿宋" w:cs="仿宋_GB2312" w:hint="eastAsia"/>
                <w:sz w:val="24"/>
                <w:szCs w:val="24"/>
              </w:rPr>
              <w:t>《化妆品生产许可检查要点》</w:t>
            </w:r>
          </w:p>
        </w:tc>
      </w:tr>
      <w:tr w:rsidR="007E4F3B" w:rsidTr="00B515F9">
        <w:trPr>
          <w:trHeight w:val="357"/>
          <w:jc w:val="center"/>
        </w:trPr>
        <w:tc>
          <w:tcPr>
            <w:tcW w:w="8371" w:type="dxa"/>
            <w:gridSpan w:val="5"/>
          </w:tcPr>
          <w:p w:rsidR="007E4F3B" w:rsidRPr="008001AB" w:rsidRDefault="007E4F3B" w:rsidP="00B515F9">
            <w:pPr>
              <w:spacing w:line="460" w:lineRule="exact"/>
              <w:ind w:firstLineChars="1250" w:firstLine="3000"/>
              <w:rPr>
                <w:rFonts w:ascii="仿宋" w:eastAsia="仿宋" w:hAnsi="仿宋"/>
                <w:sz w:val="24"/>
                <w:szCs w:val="24"/>
              </w:rPr>
            </w:pPr>
            <w:r w:rsidRPr="008001AB">
              <w:rPr>
                <w:rFonts w:ascii="仿宋" w:eastAsia="仿宋" w:hAnsi="仿宋" w:hint="eastAsia"/>
                <w:sz w:val="24"/>
                <w:szCs w:val="24"/>
              </w:rPr>
              <w:t>检查</w:t>
            </w:r>
            <w:r w:rsidRPr="008001AB">
              <w:rPr>
                <w:rFonts w:ascii="仿宋" w:eastAsia="仿宋" w:hAnsi="仿宋"/>
                <w:sz w:val="24"/>
                <w:szCs w:val="24"/>
              </w:rPr>
              <w:t>发</w:t>
            </w:r>
            <w:r w:rsidRPr="008001AB">
              <w:rPr>
                <w:rFonts w:ascii="仿宋" w:eastAsia="仿宋" w:hAnsi="仿宋" w:hint="eastAsia"/>
                <w:sz w:val="24"/>
                <w:szCs w:val="24"/>
              </w:rPr>
              <w:t>现</w:t>
            </w:r>
            <w:r w:rsidRPr="008001AB">
              <w:rPr>
                <w:rFonts w:ascii="仿宋" w:eastAsia="仿宋" w:hAnsi="仿宋"/>
                <w:sz w:val="24"/>
                <w:szCs w:val="24"/>
              </w:rPr>
              <w:t>缺陷和问题</w:t>
            </w:r>
          </w:p>
        </w:tc>
      </w:tr>
      <w:tr w:rsidR="007E4F3B" w:rsidTr="00B515F9">
        <w:trPr>
          <w:trHeight w:val="1476"/>
          <w:jc w:val="center"/>
        </w:trPr>
        <w:tc>
          <w:tcPr>
            <w:tcW w:w="8371" w:type="dxa"/>
            <w:gridSpan w:val="5"/>
          </w:tcPr>
          <w:p w:rsidR="007E4F3B" w:rsidRDefault="007E4F3B" w:rsidP="00B515F9">
            <w:pPr>
              <w:spacing w:line="460" w:lineRule="exact"/>
              <w:ind w:firstLineChars="100" w:firstLine="240"/>
              <w:rPr>
                <w:rFonts w:ascii="仿宋" w:eastAsia="仿宋" w:hAnsi="仿宋"/>
                <w:sz w:val="24"/>
                <w:szCs w:val="24"/>
              </w:rPr>
            </w:pPr>
            <w:r w:rsidRPr="002164EA">
              <w:rPr>
                <w:rFonts w:ascii="仿宋" w:eastAsia="仿宋" w:hAnsi="仿宋" w:hint="eastAsia"/>
                <w:sz w:val="24"/>
                <w:szCs w:val="24"/>
              </w:rPr>
              <w:t>检查中</w:t>
            </w:r>
            <w:r w:rsidRPr="002164EA">
              <w:rPr>
                <w:rFonts w:ascii="仿宋" w:eastAsia="仿宋" w:hAnsi="仿宋"/>
                <w:sz w:val="24"/>
                <w:szCs w:val="24"/>
              </w:rPr>
              <w:t>发现</w:t>
            </w:r>
            <w:r>
              <w:rPr>
                <w:rFonts w:ascii="仿宋" w:eastAsia="仿宋" w:hAnsi="仿宋" w:hint="eastAsia"/>
                <w:sz w:val="24"/>
                <w:szCs w:val="24"/>
              </w:rPr>
              <w:t>严重</w:t>
            </w:r>
            <w:r w:rsidR="00972556">
              <w:rPr>
                <w:rFonts w:ascii="仿宋" w:eastAsia="仿宋" w:hAnsi="仿宋" w:hint="eastAsia"/>
                <w:sz w:val="24"/>
                <w:szCs w:val="24"/>
              </w:rPr>
              <w:t>缺陷</w:t>
            </w:r>
            <w:r w:rsidR="00981741">
              <w:rPr>
                <w:rFonts w:ascii="仿宋" w:eastAsia="仿宋" w:hAnsi="仿宋"/>
                <w:sz w:val="24"/>
                <w:szCs w:val="24"/>
              </w:rPr>
              <w:t>1</w:t>
            </w:r>
            <w:r w:rsidRPr="002164EA">
              <w:rPr>
                <w:rFonts w:ascii="仿宋" w:eastAsia="仿宋" w:hAnsi="仿宋" w:hint="eastAsia"/>
                <w:sz w:val="24"/>
                <w:szCs w:val="24"/>
              </w:rPr>
              <w:t>项</w:t>
            </w:r>
            <w:r w:rsidRPr="002164EA">
              <w:rPr>
                <w:rFonts w:ascii="仿宋" w:eastAsia="仿宋" w:hAnsi="仿宋"/>
                <w:sz w:val="24"/>
                <w:szCs w:val="24"/>
              </w:rPr>
              <w:t>，</w:t>
            </w:r>
            <w:r w:rsidRPr="002164EA">
              <w:rPr>
                <w:rFonts w:ascii="仿宋" w:eastAsia="仿宋" w:hAnsi="仿宋" w:hint="eastAsia"/>
                <w:sz w:val="24"/>
                <w:szCs w:val="24"/>
              </w:rPr>
              <w:t>一般缺陷</w:t>
            </w:r>
            <w:r w:rsidR="00981741">
              <w:rPr>
                <w:rFonts w:ascii="仿宋" w:eastAsia="仿宋" w:hAnsi="仿宋"/>
                <w:sz w:val="24"/>
                <w:szCs w:val="24"/>
              </w:rPr>
              <w:t>1</w:t>
            </w:r>
            <w:r w:rsidR="001542AB">
              <w:rPr>
                <w:rFonts w:ascii="仿宋" w:eastAsia="仿宋" w:hAnsi="仿宋"/>
                <w:sz w:val="24"/>
                <w:szCs w:val="24"/>
              </w:rPr>
              <w:t>2</w:t>
            </w:r>
            <w:r w:rsidRPr="002164EA">
              <w:rPr>
                <w:rFonts w:ascii="仿宋" w:eastAsia="仿宋" w:hAnsi="仿宋"/>
                <w:sz w:val="24"/>
                <w:szCs w:val="24"/>
              </w:rPr>
              <w:t>项</w:t>
            </w:r>
            <w:r w:rsidRPr="002164EA">
              <w:rPr>
                <w:rFonts w:ascii="仿宋" w:eastAsia="仿宋" w:hAnsi="仿宋" w:hint="eastAsia"/>
                <w:sz w:val="24"/>
                <w:szCs w:val="24"/>
              </w:rPr>
              <w:t>。其</w:t>
            </w:r>
            <w:r w:rsidRPr="002164EA">
              <w:rPr>
                <w:rFonts w:ascii="仿宋" w:eastAsia="仿宋" w:hAnsi="仿宋"/>
                <w:sz w:val="24"/>
                <w:szCs w:val="24"/>
              </w:rPr>
              <w:t>中标注“*”</w:t>
            </w:r>
            <w:r w:rsidRPr="002164EA">
              <w:rPr>
                <w:rFonts w:ascii="仿宋" w:eastAsia="仿宋" w:hAnsi="仿宋" w:hint="eastAsia"/>
                <w:sz w:val="24"/>
                <w:szCs w:val="24"/>
              </w:rPr>
              <w:t>并</w:t>
            </w:r>
            <w:r w:rsidRPr="002164EA">
              <w:rPr>
                <w:rFonts w:ascii="仿宋" w:eastAsia="仿宋" w:hAnsi="仿宋"/>
                <w:sz w:val="24"/>
                <w:szCs w:val="24"/>
              </w:rPr>
              <w:t>加注下划线的为严重缺陷项。</w:t>
            </w:r>
          </w:p>
          <w:p w:rsidR="007E4F3B" w:rsidRPr="00F372A0" w:rsidRDefault="007E4F3B" w:rsidP="00B515F9">
            <w:pPr>
              <w:spacing w:line="460" w:lineRule="exact"/>
              <w:ind w:firstLineChars="100" w:firstLine="241"/>
              <w:rPr>
                <w:rFonts w:ascii="仿宋" w:eastAsia="仿宋" w:hAnsi="仿宋"/>
                <w:b/>
                <w:sz w:val="24"/>
                <w:szCs w:val="24"/>
              </w:rPr>
            </w:pPr>
            <w:r w:rsidRPr="00F372A0">
              <w:rPr>
                <w:rFonts w:ascii="仿宋" w:eastAsia="仿宋" w:hAnsi="仿宋" w:hint="eastAsia"/>
                <w:b/>
                <w:sz w:val="24"/>
                <w:szCs w:val="24"/>
              </w:rPr>
              <w:t>一</w:t>
            </w:r>
            <w:r w:rsidRPr="00F372A0">
              <w:rPr>
                <w:rFonts w:ascii="仿宋" w:eastAsia="仿宋" w:hAnsi="仿宋"/>
                <w:b/>
                <w:sz w:val="24"/>
                <w:szCs w:val="24"/>
              </w:rPr>
              <w:t>、</w:t>
            </w:r>
            <w:r w:rsidR="009572FD">
              <w:rPr>
                <w:rFonts w:ascii="仿宋" w:eastAsia="仿宋" w:hAnsi="仿宋" w:hint="eastAsia"/>
                <w:b/>
                <w:sz w:val="24"/>
                <w:szCs w:val="24"/>
              </w:rPr>
              <w:t>机构</w:t>
            </w:r>
            <w:r w:rsidR="009572FD">
              <w:rPr>
                <w:rFonts w:ascii="仿宋" w:eastAsia="仿宋" w:hAnsi="仿宋"/>
                <w:b/>
                <w:sz w:val="24"/>
                <w:szCs w:val="24"/>
              </w:rPr>
              <w:t>与人员</w:t>
            </w:r>
            <w:r w:rsidR="00F372A0" w:rsidRPr="00F372A0">
              <w:rPr>
                <w:rFonts w:ascii="仿宋" w:eastAsia="仿宋" w:hAnsi="仿宋" w:hint="eastAsia"/>
                <w:b/>
                <w:sz w:val="24"/>
                <w:szCs w:val="24"/>
              </w:rPr>
              <w:t>存在问题</w:t>
            </w:r>
          </w:p>
          <w:p w:rsidR="007E4F3B" w:rsidRDefault="007E4F3B" w:rsidP="00981741">
            <w:pPr>
              <w:spacing w:line="460" w:lineRule="exact"/>
              <w:ind w:firstLineChars="200" w:firstLine="480"/>
              <w:rPr>
                <w:rFonts w:ascii="仿宋" w:eastAsia="仿宋" w:hAnsi="仿宋"/>
                <w:sz w:val="24"/>
                <w:szCs w:val="24"/>
              </w:rPr>
            </w:pPr>
            <w:r w:rsidRPr="005819E1">
              <w:rPr>
                <w:rFonts w:ascii="仿宋" w:eastAsia="仿宋" w:hAnsi="仿宋"/>
                <w:sz w:val="24"/>
                <w:szCs w:val="24"/>
              </w:rPr>
              <w:t>1、</w:t>
            </w:r>
            <w:r w:rsidR="00981741" w:rsidRPr="00981741">
              <w:rPr>
                <w:rFonts w:ascii="仿宋" w:eastAsia="仿宋" w:hAnsi="仿宋" w:hint="eastAsia"/>
                <w:sz w:val="24"/>
                <w:szCs w:val="24"/>
              </w:rPr>
              <w:t>企业无物料管理的相关培训内容和考核记录。</w:t>
            </w:r>
          </w:p>
          <w:p w:rsidR="009858BE" w:rsidRDefault="009858BE" w:rsidP="00981741">
            <w:pPr>
              <w:spacing w:line="460" w:lineRule="exact"/>
              <w:ind w:firstLineChars="200" w:firstLine="480"/>
              <w:rPr>
                <w:rFonts w:ascii="仿宋" w:eastAsia="仿宋" w:hAnsi="仿宋"/>
                <w:sz w:val="24"/>
                <w:szCs w:val="24"/>
              </w:rPr>
            </w:pPr>
            <w:r>
              <w:rPr>
                <w:rFonts w:ascii="仿宋" w:eastAsia="仿宋" w:hAnsi="仿宋" w:hint="eastAsia"/>
                <w:sz w:val="24"/>
                <w:szCs w:val="24"/>
              </w:rPr>
              <w:t>2、</w:t>
            </w:r>
            <w:r w:rsidRPr="009858BE">
              <w:rPr>
                <w:rFonts w:ascii="仿宋" w:eastAsia="仿宋" w:hAnsi="仿宋" w:hint="eastAsia"/>
                <w:sz w:val="24"/>
                <w:szCs w:val="24"/>
              </w:rPr>
              <w:t>进入生产区的操作工未按照文件规定进行更衣更鞋。</w:t>
            </w:r>
          </w:p>
          <w:p w:rsidR="00F372A0" w:rsidRPr="00F372A0" w:rsidRDefault="001542AB" w:rsidP="00F372A0">
            <w:pPr>
              <w:spacing w:line="460" w:lineRule="exact"/>
              <w:ind w:firstLineChars="100" w:firstLine="241"/>
              <w:rPr>
                <w:rFonts w:ascii="仿宋" w:eastAsia="仿宋" w:hAnsi="仿宋"/>
                <w:b/>
                <w:sz w:val="24"/>
                <w:szCs w:val="24"/>
              </w:rPr>
            </w:pPr>
            <w:r>
              <w:rPr>
                <w:rFonts w:ascii="仿宋" w:eastAsia="仿宋" w:hAnsi="仿宋" w:hint="eastAsia"/>
                <w:b/>
                <w:sz w:val="24"/>
                <w:szCs w:val="24"/>
              </w:rPr>
              <w:t>二</w:t>
            </w:r>
            <w:r w:rsidR="00F372A0" w:rsidRPr="00F372A0">
              <w:rPr>
                <w:rFonts w:ascii="仿宋" w:eastAsia="仿宋" w:hAnsi="仿宋"/>
                <w:b/>
                <w:sz w:val="24"/>
                <w:szCs w:val="24"/>
              </w:rPr>
              <w:t>、</w:t>
            </w:r>
            <w:r w:rsidR="00643A50">
              <w:rPr>
                <w:rFonts w:ascii="仿宋" w:eastAsia="仿宋" w:hAnsi="仿宋" w:hint="eastAsia"/>
                <w:b/>
                <w:sz w:val="24"/>
                <w:szCs w:val="24"/>
              </w:rPr>
              <w:t>质量管理</w:t>
            </w:r>
            <w:r w:rsidR="00F372A0" w:rsidRPr="00F372A0">
              <w:rPr>
                <w:rFonts w:ascii="仿宋" w:eastAsia="仿宋" w:hAnsi="仿宋" w:hint="eastAsia"/>
                <w:b/>
                <w:sz w:val="24"/>
                <w:szCs w:val="24"/>
              </w:rPr>
              <w:t>存在问题</w:t>
            </w:r>
          </w:p>
          <w:p w:rsidR="00AF1A14" w:rsidRDefault="009858BE" w:rsidP="009858BE">
            <w:pPr>
              <w:spacing w:line="46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w:t>
            </w:r>
            <w:r w:rsidRPr="009858BE">
              <w:rPr>
                <w:rFonts w:ascii="仿宋" w:eastAsia="仿宋" w:hAnsi="仿宋" w:hint="eastAsia"/>
                <w:sz w:val="24"/>
                <w:szCs w:val="24"/>
              </w:rPr>
              <w:t>企业未按照变更文件管理制度对文件进行及时修改变更。</w:t>
            </w:r>
            <w:r w:rsidRPr="009858BE">
              <w:rPr>
                <w:rFonts w:ascii="仿宋" w:eastAsia="仿宋" w:hAnsi="仿宋"/>
                <w:sz w:val="24"/>
                <w:szCs w:val="24"/>
              </w:rPr>
              <w:t>2018年起企业牛奶香浴盐的配方中纯白色粉末状脱脂牛奶已变更为液体状的香精牛奶，但《牛奶香精检验标准操作规程》（文件编码：JKL-ZLGL-0036-00）中配方仍为脱脂牛奶。</w:t>
            </w:r>
          </w:p>
          <w:p w:rsidR="00643A50" w:rsidRDefault="009858BE" w:rsidP="009858BE">
            <w:pPr>
              <w:spacing w:line="460" w:lineRule="exact"/>
              <w:ind w:firstLineChars="200" w:firstLine="480"/>
              <w:rPr>
                <w:rFonts w:ascii="仿宋" w:eastAsia="仿宋" w:hAnsi="仿宋"/>
                <w:sz w:val="24"/>
                <w:szCs w:val="24"/>
              </w:rPr>
            </w:pPr>
            <w:r>
              <w:rPr>
                <w:rFonts w:ascii="仿宋" w:eastAsia="仿宋" w:hAnsi="仿宋"/>
                <w:sz w:val="24"/>
                <w:szCs w:val="24"/>
              </w:rPr>
              <w:t>4</w:t>
            </w:r>
            <w:r w:rsidR="00643A50">
              <w:rPr>
                <w:rFonts w:ascii="仿宋" w:eastAsia="仿宋" w:hAnsi="仿宋" w:hint="eastAsia"/>
                <w:sz w:val="24"/>
                <w:szCs w:val="24"/>
              </w:rPr>
              <w:t>、</w:t>
            </w:r>
            <w:r w:rsidRPr="009858BE">
              <w:rPr>
                <w:rFonts w:ascii="仿宋" w:eastAsia="仿宋" w:hAnsi="仿宋" w:hint="eastAsia"/>
                <w:sz w:val="24"/>
                <w:szCs w:val="24"/>
              </w:rPr>
              <w:t>硫酸钠检验标准操作规程（文件编码：</w:t>
            </w:r>
            <w:r w:rsidRPr="009858BE">
              <w:rPr>
                <w:rFonts w:ascii="仿宋" w:eastAsia="仿宋" w:hAnsi="仿宋"/>
                <w:sz w:val="24"/>
                <w:szCs w:val="24"/>
              </w:rPr>
              <w:t>JKL-ZLGL-0032-00）中规定要进行性状、溶液、相对密度、溶解性、溶解度的检查，但现场检查时企业仅进行了性状、溶解性和溶液检查，未进行相对密度、溶解度检查。</w:t>
            </w:r>
          </w:p>
          <w:p w:rsidR="009858BE" w:rsidRDefault="009858BE" w:rsidP="009858BE">
            <w:pPr>
              <w:spacing w:line="460" w:lineRule="exact"/>
              <w:ind w:firstLineChars="200" w:firstLine="480"/>
              <w:rPr>
                <w:rFonts w:ascii="仿宋" w:eastAsia="仿宋" w:hAnsi="仿宋"/>
                <w:sz w:val="24"/>
                <w:szCs w:val="24"/>
              </w:rPr>
            </w:pPr>
            <w:r>
              <w:rPr>
                <w:rFonts w:ascii="仿宋" w:eastAsia="仿宋" w:hAnsi="仿宋" w:hint="eastAsia"/>
                <w:sz w:val="24"/>
                <w:szCs w:val="24"/>
              </w:rPr>
              <w:t>5、</w:t>
            </w:r>
            <w:r w:rsidRPr="009858BE">
              <w:rPr>
                <w:rFonts w:ascii="仿宋" w:eastAsia="仿宋" w:hAnsi="仿宋" w:hint="eastAsia"/>
                <w:sz w:val="24"/>
                <w:szCs w:val="24"/>
              </w:rPr>
              <w:t>企业未制定“来样批号”的编制规程，现场检查“来样批号”为检验人员自编，无法追溯被检验原料的实际批次。</w:t>
            </w:r>
          </w:p>
          <w:p w:rsidR="009858BE" w:rsidRDefault="009858BE" w:rsidP="009858BE">
            <w:pPr>
              <w:spacing w:line="460" w:lineRule="exact"/>
              <w:ind w:firstLineChars="200" w:firstLine="480"/>
              <w:rPr>
                <w:rFonts w:ascii="仿宋" w:eastAsia="仿宋" w:hAnsi="仿宋"/>
                <w:sz w:val="24"/>
                <w:szCs w:val="24"/>
              </w:rPr>
            </w:pPr>
            <w:r>
              <w:rPr>
                <w:rFonts w:ascii="仿宋" w:eastAsia="仿宋" w:hAnsi="仿宋" w:hint="eastAsia"/>
                <w:sz w:val="24"/>
                <w:szCs w:val="24"/>
              </w:rPr>
              <w:t>6、</w:t>
            </w:r>
            <w:r w:rsidRPr="009858BE">
              <w:rPr>
                <w:rFonts w:ascii="仿宋" w:eastAsia="仿宋" w:hAnsi="仿宋"/>
                <w:sz w:val="24"/>
                <w:szCs w:val="24"/>
              </w:rPr>
              <w:t>2016年后企业未按照《检验管理制度》对成品进行一年一次的型式检验。</w:t>
            </w:r>
          </w:p>
          <w:p w:rsidR="00F372A0" w:rsidRPr="00F372A0" w:rsidRDefault="001542AB" w:rsidP="00F372A0">
            <w:pPr>
              <w:spacing w:line="460" w:lineRule="exact"/>
              <w:ind w:firstLineChars="100" w:firstLine="241"/>
              <w:rPr>
                <w:rFonts w:ascii="仿宋" w:eastAsia="仿宋" w:hAnsi="仿宋"/>
                <w:b/>
                <w:sz w:val="24"/>
                <w:szCs w:val="24"/>
              </w:rPr>
            </w:pPr>
            <w:r>
              <w:rPr>
                <w:rFonts w:ascii="仿宋" w:eastAsia="仿宋" w:hAnsi="仿宋" w:hint="eastAsia"/>
                <w:b/>
                <w:sz w:val="24"/>
                <w:szCs w:val="24"/>
              </w:rPr>
              <w:t>三</w:t>
            </w:r>
            <w:r w:rsidR="00F372A0" w:rsidRPr="00F372A0">
              <w:rPr>
                <w:rFonts w:ascii="仿宋" w:eastAsia="仿宋" w:hAnsi="仿宋"/>
                <w:b/>
                <w:sz w:val="24"/>
                <w:szCs w:val="24"/>
              </w:rPr>
              <w:t>、</w:t>
            </w:r>
            <w:r w:rsidR="00643A50">
              <w:rPr>
                <w:rFonts w:ascii="仿宋" w:eastAsia="仿宋" w:hAnsi="仿宋" w:hint="eastAsia"/>
                <w:b/>
                <w:sz w:val="24"/>
                <w:szCs w:val="24"/>
              </w:rPr>
              <w:t>厂房与</w:t>
            </w:r>
            <w:r w:rsidR="00643A50">
              <w:rPr>
                <w:rFonts w:ascii="仿宋" w:eastAsia="仿宋" w:hAnsi="仿宋"/>
                <w:b/>
                <w:sz w:val="24"/>
                <w:szCs w:val="24"/>
              </w:rPr>
              <w:t>设施</w:t>
            </w:r>
            <w:r w:rsidR="00F372A0" w:rsidRPr="00F372A0">
              <w:rPr>
                <w:rFonts w:ascii="仿宋" w:eastAsia="仿宋" w:hAnsi="仿宋" w:hint="eastAsia"/>
                <w:b/>
                <w:sz w:val="24"/>
                <w:szCs w:val="24"/>
              </w:rPr>
              <w:t>存在问题</w:t>
            </w:r>
          </w:p>
          <w:p w:rsidR="007E4F3B" w:rsidRDefault="001542AB" w:rsidP="001542AB">
            <w:pPr>
              <w:spacing w:line="460" w:lineRule="exact"/>
              <w:ind w:firstLineChars="200" w:firstLine="480"/>
              <w:rPr>
                <w:rFonts w:ascii="仿宋" w:eastAsia="仿宋" w:hAnsi="仿宋"/>
                <w:sz w:val="24"/>
                <w:szCs w:val="24"/>
              </w:rPr>
            </w:pPr>
            <w:r>
              <w:rPr>
                <w:rFonts w:ascii="仿宋" w:eastAsia="仿宋" w:hAnsi="仿宋"/>
                <w:sz w:val="24"/>
                <w:szCs w:val="24"/>
              </w:rPr>
              <w:lastRenderedPageBreak/>
              <w:t>7</w:t>
            </w:r>
            <w:r w:rsidR="007E4F3B" w:rsidRPr="005819E1">
              <w:rPr>
                <w:rFonts w:ascii="仿宋" w:eastAsia="仿宋" w:hAnsi="仿宋"/>
                <w:sz w:val="24"/>
                <w:szCs w:val="24"/>
              </w:rPr>
              <w:t>、</w:t>
            </w:r>
            <w:r w:rsidRPr="001542AB">
              <w:rPr>
                <w:rFonts w:ascii="仿宋" w:eastAsia="仿宋" w:hAnsi="仿宋" w:hint="eastAsia"/>
                <w:sz w:val="24"/>
                <w:szCs w:val="24"/>
              </w:rPr>
              <w:t>企业未对设施设备、器具制定清洁方法和清洁程序，且现场检查发现粉单元车间清洁器具的毛巾有纤维脱落；未制定紫外灯的使用操作规程，不能保证紫外灯的有效消毒。</w:t>
            </w:r>
          </w:p>
          <w:p w:rsidR="001542AB" w:rsidRDefault="001542AB" w:rsidP="001542AB">
            <w:pPr>
              <w:spacing w:line="460" w:lineRule="exact"/>
              <w:ind w:firstLineChars="100" w:firstLine="241"/>
              <w:rPr>
                <w:rFonts w:ascii="仿宋" w:eastAsia="仿宋" w:hAnsi="仿宋"/>
                <w:sz w:val="24"/>
                <w:szCs w:val="24"/>
              </w:rPr>
            </w:pPr>
            <w:r>
              <w:rPr>
                <w:rFonts w:ascii="仿宋" w:eastAsia="仿宋" w:hAnsi="仿宋" w:hint="eastAsia"/>
                <w:b/>
                <w:sz w:val="24"/>
                <w:szCs w:val="24"/>
              </w:rPr>
              <w:t>四</w:t>
            </w:r>
            <w:r w:rsidRPr="00F372A0">
              <w:rPr>
                <w:rFonts w:ascii="仿宋" w:eastAsia="仿宋" w:hAnsi="仿宋"/>
                <w:b/>
                <w:sz w:val="24"/>
                <w:szCs w:val="24"/>
              </w:rPr>
              <w:t>、</w:t>
            </w:r>
            <w:r>
              <w:rPr>
                <w:rFonts w:ascii="仿宋" w:eastAsia="仿宋" w:hAnsi="仿宋" w:hint="eastAsia"/>
                <w:b/>
                <w:sz w:val="24"/>
                <w:szCs w:val="24"/>
              </w:rPr>
              <w:t>设备</w:t>
            </w:r>
            <w:r w:rsidRPr="00F372A0">
              <w:rPr>
                <w:rFonts w:ascii="仿宋" w:eastAsia="仿宋" w:hAnsi="仿宋" w:hint="eastAsia"/>
                <w:b/>
                <w:sz w:val="24"/>
                <w:szCs w:val="24"/>
              </w:rPr>
              <w:t>存在问题</w:t>
            </w:r>
          </w:p>
          <w:p w:rsidR="00643A50" w:rsidRDefault="001542AB" w:rsidP="001542AB">
            <w:pPr>
              <w:spacing w:line="460" w:lineRule="exact"/>
              <w:ind w:firstLineChars="200" w:firstLine="480"/>
              <w:rPr>
                <w:rFonts w:ascii="仿宋" w:eastAsia="仿宋" w:hAnsi="仿宋"/>
                <w:sz w:val="24"/>
                <w:szCs w:val="24"/>
              </w:rPr>
            </w:pPr>
            <w:r>
              <w:rPr>
                <w:rFonts w:ascii="仿宋" w:eastAsia="仿宋" w:hAnsi="仿宋"/>
                <w:sz w:val="24"/>
                <w:szCs w:val="24"/>
              </w:rPr>
              <w:t>8</w:t>
            </w:r>
            <w:r w:rsidR="00643A50">
              <w:rPr>
                <w:rFonts w:ascii="仿宋" w:eastAsia="仿宋" w:hAnsi="仿宋" w:hint="eastAsia"/>
                <w:sz w:val="24"/>
                <w:szCs w:val="24"/>
              </w:rPr>
              <w:t>、</w:t>
            </w:r>
            <w:r w:rsidRPr="001542AB">
              <w:rPr>
                <w:rFonts w:ascii="仿宋" w:eastAsia="仿宋" w:hAnsi="仿宋" w:hint="eastAsia"/>
                <w:sz w:val="24"/>
                <w:szCs w:val="24"/>
              </w:rPr>
              <w:t>企业未制定消毒剂的配制操作规程。</w:t>
            </w:r>
          </w:p>
          <w:p w:rsidR="004B6DD9" w:rsidRDefault="004B6DD9" w:rsidP="004B6DD9">
            <w:pPr>
              <w:spacing w:line="460" w:lineRule="exact"/>
              <w:ind w:firstLineChars="100" w:firstLine="241"/>
              <w:rPr>
                <w:rFonts w:ascii="仿宋" w:eastAsia="仿宋" w:hAnsi="仿宋"/>
                <w:sz w:val="24"/>
                <w:szCs w:val="24"/>
                <w:u w:val="single"/>
              </w:rPr>
            </w:pPr>
            <w:r>
              <w:rPr>
                <w:rFonts w:ascii="仿宋" w:eastAsia="仿宋" w:hAnsi="仿宋" w:hint="eastAsia"/>
                <w:b/>
                <w:sz w:val="24"/>
                <w:szCs w:val="24"/>
              </w:rPr>
              <w:t>五</w:t>
            </w:r>
            <w:r w:rsidRPr="00F372A0">
              <w:rPr>
                <w:rFonts w:ascii="仿宋" w:eastAsia="仿宋" w:hAnsi="仿宋"/>
                <w:b/>
                <w:sz w:val="24"/>
                <w:szCs w:val="24"/>
              </w:rPr>
              <w:t>、</w:t>
            </w:r>
            <w:r w:rsidR="00643A50">
              <w:rPr>
                <w:rFonts w:ascii="仿宋" w:eastAsia="仿宋" w:hAnsi="仿宋" w:hint="eastAsia"/>
                <w:b/>
                <w:sz w:val="24"/>
                <w:szCs w:val="24"/>
              </w:rPr>
              <w:t>物料与</w:t>
            </w:r>
            <w:r w:rsidR="00643A50">
              <w:rPr>
                <w:rFonts w:ascii="仿宋" w:eastAsia="仿宋" w:hAnsi="仿宋"/>
                <w:b/>
                <w:sz w:val="24"/>
                <w:szCs w:val="24"/>
              </w:rPr>
              <w:t>产品</w:t>
            </w:r>
            <w:r w:rsidRPr="00F372A0">
              <w:rPr>
                <w:rFonts w:ascii="仿宋" w:eastAsia="仿宋" w:hAnsi="仿宋" w:hint="eastAsia"/>
                <w:b/>
                <w:sz w:val="24"/>
                <w:szCs w:val="24"/>
              </w:rPr>
              <w:t>存在问题</w:t>
            </w:r>
          </w:p>
          <w:p w:rsidR="004B6DD9" w:rsidRDefault="00643A50" w:rsidP="001542AB">
            <w:pPr>
              <w:spacing w:line="460" w:lineRule="exact"/>
              <w:ind w:firstLineChars="200" w:firstLine="480"/>
              <w:rPr>
                <w:rFonts w:ascii="仿宋" w:eastAsia="仿宋" w:hAnsi="仿宋"/>
                <w:sz w:val="24"/>
                <w:szCs w:val="24"/>
                <w:u w:val="single"/>
              </w:rPr>
            </w:pPr>
            <w:r>
              <w:rPr>
                <w:rFonts w:ascii="仿宋" w:eastAsia="仿宋" w:hAnsi="仿宋"/>
                <w:sz w:val="24"/>
                <w:szCs w:val="24"/>
              </w:rPr>
              <w:t>9</w:t>
            </w:r>
            <w:r w:rsidR="004B6DD9" w:rsidRPr="004B6DD9">
              <w:rPr>
                <w:rFonts w:ascii="仿宋" w:eastAsia="仿宋" w:hAnsi="仿宋" w:hint="eastAsia"/>
                <w:sz w:val="24"/>
                <w:szCs w:val="24"/>
              </w:rPr>
              <w:t>、</w:t>
            </w:r>
            <w:r w:rsidR="001542AB">
              <w:rPr>
                <w:rFonts w:ascii="仿宋" w:eastAsia="仿宋" w:hAnsi="仿宋" w:hint="eastAsia"/>
                <w:sz w:val="24"/>
                <w:szCs w:val="24"/>
              </w:rPr>
              <w:t>*</w:t>
            </w:r>
            <w:r w:rsidR="001542AB" w:rsidRPr="001542AB">
              <w:rPr>
                <w:rFonts w:ascii="仿宋" w:eastAsia="仿宋" w:hAnsi="仿宋" w:hint="eastAsia"/>
                <w:sz w:val="24"/>
                <w:szCs w:val="24"/>
                <w:u w:val="single"/>
              </w:rPr>
              <w:t>产品牛奶香浴盐的备案产品配方所用原料为“脱脂牛奶”，现场检查发现实际使用原料为“香精（牛奶）”。</w:t>
            </w:r>
          </w:p>
          <w:p w:rsidR="001542AB" w:rsidRDefault="001542AB" w:rsidP="001542AB">
            <w:pPr>
              <w:spacing w:line="460" w:lineRule="exact"/>
              <w:ind w:firstLineChars="200" w:firstLine="480"/>
              <w:rPr>
                <w:rFonts w:ascii="仿宋" w:eastAsia="仿宋" w:hAnsi="仿宋"/>
                <w:sz w:val="24"/>
                <w:szCs w:val="24"/>
              </w:rPr>
            </w:pPr>
            <w:r w:rsidRPr="001542AB">
              <w:rPr>
                <w:rFonts w:ascii="仿宋" w:eastAsia="仿宋" w:hAnsi="仿宋" w:hint="eastAsia"/>
                <w:sz w:val="24"/>
                <w:szCs w:val="24"/>
              </w:rPr>
              <w:t>10、现场抽查发现企业收集了原料牛奶香精、玫瑰香精和薰衣草香精的经销商资质，但未见对应原料的生产单位。</w:t>
            </w:r>
          </w:p>
          <w:p w:rsidR="001542AB" w:rsidRDefault="001542AB" w:rsidP="001542AB">
            <w:pPr>
              <w:spacing w:line="460" w:lineRule="exact"/>
              <w:ind w:firstLineChars="200" w:firstLine="480"/>
              <w:rPr>
                <w:rFonts w:ascii="仿宋" w:eastAsia="仿宋" w:hAnsi="仿宋"/>
                <w:sz w:val="24"/>
                <w:szCs w:val="24"/>
              </w:rPr>
            </w:pPr>
            <w:r>
              <w:rPr>
                <w:rFonts w:ascii="仿宋" w:eastAsia="仿宋" w:hAnsi="仿宋" w:hint="eastAsia"/>
                <w:sz w:val="24"/>
                <w:szCs w:val="24"/>
              </w:rPr>
              <w:t>11、</w:t>
            </w:r>
            <w:r w:rsidRPr="001542AB">
              <w:rPr>
                <w:rFonts w:ascii="仿宋" w:eastAsia="仿宋" w:hAnsi="仿宋" w:hint="eastAsia"/>
                <w:sz w:val="24"/>
                <w:szCs w:val="24"/>
              </w:rPr>
              <w:t>现场检查发现原辅料库存放的生产退回的药用滑石粉，未进行有效的密封包装，也无标识，且无仓库管理人员核对和质量管理人员确认的记录。</w:t>
            </w:r>
          </w:p>
          <w:p w:rsidR="001542AB" w:rsidRPr="001542AB" w:rsidRDefault="001542AB" w:rsidP="001542AB">
            <w:pPr>
              <w:spacing w:line="460" w:lineRule="exact"/>
              <w:ind w:firstLineChars="200" w:firstLine="480"/>
              <w:rPr>
                <w:rFonts w:ascii="仿宋" w:eastAsia="仿宋" w:hAnsi="仿宋"/>
                <w:sz w:val="24"/>
                <w:szCs w:val="24"/>
              </w:rPr>
            </w:pPr>
            <w:r>
              <w:rPr>
                <w:rFonts w:ascii="仿宋" w:eastAsia="仿宋" w:hAnsi="仿宋" w:hint="eastAsia"/>
                <w:sz w:val="24"/>
                <w:szCs w:val="24"/>
              </w:rPr>
              <w:t>12、</w:t>
            </w:r>
            <w:r w:rsidRPr="001542AB">
              <w:rPr>
                <w:rFonts w:ascii="仿宋" w:eastAsia="仿宋" w:hAnsi="仿宋" w:hint="eastAsia"/>
                <w:sz w:val="24"/>
                <w:szCs w:val="24"/>
              </w:rPr>
              <w:t>企业产品“</w:t>
            </w:r>
            <w:r w:rsidRPr="001542AB">
              <w:rPr>
                <w:rFonts w:ascii="仿宋" w:eastAsia="仿宋" w:hAnsi="仿宋"/>
                <w:sz w:val="24"/>
                <w:szCs w:val="24"/>
              </w:rPr>
              <w:t>SPA搓盐”的内包材和外包材的标签成分不一致。内包材显示成分为：硫酸钠、二氧化硅、鲜奶精；外包材显示成分为：硫酸钠、海盐、滑石粉、香精。</w:t>
            </w:r>
          </w:p>
          <w:p w:rsidR="004B6DD9" w:rsidRDefault="004B6DD9" w:rsidP="004B6DD9">
            <w:pPr>
              <w:spacing w:line="460" w:lineRule="exact"/>
              <w:ind w:firstLineChars="100" w:firstLine="241"/>
              <w:rPr>
                <w:rFonts w:ascii="仿宋" w:eastAsia="仿宋" w:hAnsi="仿宋"/>
                <w:sz w:val="24"/>
                <w:szCs w:val="24"/>
                <w:u w:val="single"/>
              </w:rPr>
            </w:pPr>
            <w:r>
              <w:rPr>
                <w:rFonts w:ascii="仿宋" w:eastAsia="仿宋" w:hAnsi="仿宋" w:hint="eastAsia"/>
                <w:b/>
                <w:sz w:val="24"/>
                <w:szCs w:val="24"/>
              </w:rPr>
              <w:t>六</w:t>
            </w:r>
            <w:r w:rsidRPr="00F372A0">
              <w:rPr>
                <w:rFonts w:ascii="仿宋" w:eastAsia="仿宋" w:hAnsi="仿宋"/>
                <w:b/>
                <w:sz w:val="24"/>
                <w:szCs w:val="24"/>
              </w:rPr>
              <w:t>、</w:t>
            </w:r>
            <w:r w:rsidR="00643A50">
              <w:rPr>
                <w:rFonts w:ascii="仿宋" w:eastAsia="仿宋" w:hAnsi="仿宋" w:hint="eastAsia"/>
                <w:b/>
                <w:sz w:val="24"/>
                <w:szCs w:val="24"/>
              </w:rPr>
              <w:t>生产管理</w:t>
            </w:r>
            <w:r w:rsidRPr="00F372A0">
              <w:rPr>
                <w:rFonts w:ascii="仿宋" w:eastAsia="仿宋" w:hAnsi="仿宋" w:hint="eastAsia"/>
                <w:b/>
                <w:sz w:val="24"/>
                <w:szCs w:val="24"/>
              </w:rPr>
              <w:t>存在问题</w:t>
            </w:r>
          </w:p>
          <w:p w:rsidR="004B6DD9" w:rsidRDefault="004B6DD9" w:rsidP="001542AB">
            <w:pPr>
              <w:spacing w:line="460" w:lineRule="exact"/>
              <w:ind w:firstLineChars="200" w:firstLine="480"/>
              <w:rPr>
                <w:rFonts w:ascii="仿宋" w:eastAsia="仿宋" w:hAnsi="仿宋"/>
                <w:sz w:val="24"/>
                <w:szCs w:val="24"/>
              </w:rPr>
            </w:pPr>
            <w:r>
              <w:rPr>
                <w:rFonts w:ascii="仿宋" w:eastAsia="仿宋" w:hAnsi="仿宋"/>
                <w:sz w:val="24"/>
                <w:szCs w:val="24"/>
              </w:rPr>
              <w:t>1</w:t>
            </w:r>
            <w:r w:rsidR="001542AB">
              <w:rPr>
                <w:rFonts w:ascii="仿宋" w:eastAsia="仿宋" w:hAnsi="仿宋"/>
                <w:sz w:val="24"/>
                <w:szCs w:val="24"/>
              </w:rPr>
              <w:t>3</w:t>
            </w:r>
            <w:r>
              <w:rPr>
                <w:rFonts w:ascii="仿宋" w:eastAsia="仿宋" w:hAnsi="仿宋" w:hint="eastAsia"/>
                <w:sz w:val="24"/>
                <w:szCs w:val="24"/>
              </w:rPr>
              <w:t>、</w:t>
            </w:r>
            <w:r w:rsidR="001542AB" w:rsidRPr="001542AB">
              <w:rPr>
                <w:rFonts w:ascii="仿宋" w:eastAsia="仿宋" w:hAnsi="仿宋" w:hint="eastAsia"/>
                <w:sz w:val="24"/>
                <w:szCs w:val="24"/>
              </w:rPr>
              <w:t>企业生产过程中未进行巡回检验和完工检验。</w:t>
            </w:r>
          </w:p>
          <w:p w:rsidR="00B515F9" w:rsidRPr="005819E1" w:rsidRDefault="00B515F9" w:rsidP="001542AB">
            <w:pPr>
              <w:spacing w:line="460" w:lineRule="exact"/>
              <w:rPr>
                <w:rFonts w:ascii="仿宋" w:eastAsia="仿宋" w:hAnsi="仿宋"/>
                <w:sz w:val="24"/>
                <w:szCs w:val="24"/>
              </w:rPr>
            </w:pPr>
          </w:p>
        </w:tc>
      </w:tr>
      <w:tr w:rsidR="007E4F3B" w:rsidTr="00B515F9">
        <w:trPr>
          <w:trHeight w:val="357"/>
          <w:jc w:val="center"/>
        </w:trPr>
        <w:tc>
          <w:tcPr>
            <w:tcW w:w="8371" w:type="dxa"/>
            <w:gridSpan w:val="5"/>
          </w:tcPr>
          <w:p w:rsidR="007E4F3B" w:rsidRPr="002164EA" w:rsidRDefault="007E4F3B" w:rsidP="00B515F9">
            <w:pPr>
              <w:spacing w:line="460" w:lineRule="exact"/>
              <w:ind w:firstLineChars="1450" w:firstLine="3480"/>
              <w:rPr>
                <w:rFonts w:ascii="仿宋" w:eastAsia="仿宋" w:hAnsi="仿宋"/>
                <w:sz w:val="24"/>
                <w:szCs w:val="24"/>
              </w:rPr>
            </w:pPr>
            <w:r w:rsidRPr="002164EA">
              <w:rPr>
                <w:rFonts w:ascii="仿宋" w:eastAsia="仿宋" w:hAnsi="仿宋" w:hint="eastAsia"/>
                <w:sz w:val="24"/>
                <w:szCs w:val="24"/>
              </w:rPr>
              <w:lastRenderedPageBreak/>
              <w:t>处理</w:t>
            </w:r>
            <w:r w:rsidRPr="002164EA">
              <w:rPr>
                <w:rFonts w:ascii="仿宋" w:eastAsia="仿宋" w:hAnsi="仿宋"/>
                <w:sz w:val="24"/>
                <w:szCs w:val="24"/>
              </w:rPr>
              <w:t>措施</w:t>
            </w:r>
          </w:p>
        </w:tc>
      </w:tr>
      <w:tr w:rsidR="007E4F3B" w:rsidTr="00B515F9">
        <w:trPr>
          <w:trHeight w:val="357"/>
          <w:jc w:val="center"/>
        </w:trPr>
        <w:tc>
          <w:tcPr>
            <w:tcW w:w="8371" w:type="dxa"/>
            <w:gridSpan w:val="5"/>
          </w:tcPr>
          <w:p w:rsidR="005E20D3" w:rsidRPr="002164EA" w:rsidRDefault="00875A60" w:rsidP="003376A4">
            <w:pPr>
              <w:spacing w:line="460" w:lineRule="exact"/>
              <w:ind w:firstLineChars="200" w:firstLine="480"/>
              <w:rPr>
                <w:rFonts w:ascii="仿宋" w:eastAsia="仿宋" w:hAnsi="仿宋"/>
                <w:sz w:val="24"/>
                <w:szCs w:val="24"/>
              </w:rPr>
            </w:pPr>
            <w:r w:rsidRPr="00875A60">
              <w:rPr>
                <w:rFonts w:ascii="仿宋" w:eastAsia="仿宋" w:hAnsi="仿宋" w:hint="eastAsia"/>
                <w:sz w:val="24"/>
                <w:szCs w:val="24"/>
              </w:rPr>
              <w:t>针对</w:t>
            </w:r>
            <w:r w:rsidR="003376A4" w:rsidRPr="00875A60">
              <w:rPr>
                <w:rFonts w:ascii="仿宋" w:eastAsia="仿宋" w:hAnsi="仿宋" w:hint="eastAsia"/>
                <w:sz w:val="24"/>
                <w:szCs w:val="24"/>
              </w:rPr>
              <w:t>检查</w:t>
            </w:r>
            <w:r w:rsidRPr="00875A60">
              <w:rPr>
                <w:rFonts w:ascii="仿宋" w:eastAsia="仿宋" w:hAnsi="仿宋" w:hint="eastAsia"/>
                <w:sz w:val="24"/>
                <w:szCs w:val="24"/>
              </w:rPr>
              <w:t>该公司发现的问题，四川省药品监督管理局已责</w:t>
            </w:r>
            <w:r w:rsidR="003376A4">
              <w:rPr>
                <w:rFonts w:ascii="仿宋" w:eastAsia="仿宋" w:hAnsi="仿宋" w:hint="eastAsia"/>
                <w:sz w:val="24"/>
                <w:szCs w:val="24"/>
              </w:rPr>
              <w:t>令</w:t>
            </w:r>
            <w:r w:rsidRPr="00875A60">
              <w:rPr>
                <w:rFonts w:ascii="仿宋" w:eastAsia="仿宋" w:hAnsi="仿宋" w:hint="eastAsia"/>
                <w:sz w:val="24"/>
                <w:szCs w:val="24"/>
              </w:rPr>
              <w:t>企业限</w:t>
            </w:r>
            <w:r w:rsidR="009F3F47" w:rsidRPr="00875A60">
              <w:rPr>
                <w:rFonts w:ascii="仿宋" w:eastAsia="仿宋" w:hAnsi="仿宋" w:hint="eastAsia"/>
                <w:sz w:val="24"/>
                <w:szCs w:val="24"/>
              </w:rPr>
              <w:t>期</w:t>
            </w:r>
            <w:r w:rsidRPr="00875A60">
              <w:rPr>
                <w:rFonts w:ascii="仿宋" w:eastAsia="仿宋" w:hAnsi="仿宋" w:hint="eastAsia"/>
                <w:sz w:val="24"/>
                <w:szCs w:val="24"/>
              </w:rPr>
              <w:t>整改，并将整改报告报四川省药品监督管理局化妆品监管处。</w:t>
            </w:r>
          </w:p>
        </w:tc>
      </w:tr>
      <w:tr w:rsidR="007E4F3B" w:rsidTr="00B515F9">
        <w:trPr>
          <w:trHeight w:val="357"/>
          <w:jc w:val="center"/>
        </w:trPr>
        <w:tc>
          <w:tcPr>
            <w:tcW w:w="1271" w:type="dxa"/>
          </w:tcPr>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发布日期</w:t>
            </w:r>
          </w:p>
        </w:tc>
        <w:tc>
          <w:tcPr>
            <w:tcW w:w="7100" w:type="dxa"/>
            <w:gridSpan w:val="4"/>
          </w:tcPr>
          <w:p w:rsidR="007E4F3B" w:rsidRPr="002164EA" w:rsidRDefault="007E4F3B" w:rsidP="00A269AC">
            <w:pPr>
              <w:spacing w:line="460" w:lineRule="exact"/>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w:t>
            </w:r>
            <w:r w:rsidR="001542AB">
              <w:rPr>
                <w:rFonts w:ascii="仿宋" w:eastAsia="仿宋" w:hAnsi="仿宋"/>
                <w:sz w:val="24"/>
                <w:szCs w:val="24"/>
              </w:rPr>
              <w:t>20</w:t>
            </w:r>
            <w:r>
              <w:rPr>
                <w:rFonts w:ascii="仿宋" w:eastAsia="仿宋" w:hAnsi="仿宋"/>
                <w:sz w:val="24"/>
                <w:szCs w:val="24"/>
              </w:rPr>
              <w:t>年</w:t>
            </w:r>
            <w:r>
              <w:rPr>
                <w:rFonts w:ascii="仿宋" w:eastAsia="仿宋" w:hAnsi="仿宋" w:hint="eastAsia"/>
                <w:sz w:val="24"/>
                <w:szCs w:val="24"/>
              </w:rPr>
              <w:t>1</w:t>
            </w:r>
            <w:r>
              <w:rPr>
                <w:rFonts w:ascii="仿宋" w:eastAsia="仿宋" w:hAnsi="仿宋"/>
                <w:sz w:val="24"/>
                <w:szCs w:val="24"/>
              </w:rPr>
              <w:t>月</w:t>
            </w:r>
            <w:r w:rsidR="002E60B3">
              <w:rPr>
                <w:rFonts w:ascii="仿宋" w:eastAsia="仿宋" w:hAnsi="仿宋"/>
                <w:sz w:val="24"/>
                <w:szCs w:val="24"/>
              </w:rPr>
              <w:t>2</w:t>
            </w:r>
            <w:r w:rsidR="00A269AC">
              <w:rPr>
                <w:rFonts w:ascii="仿宋" w:eastAsia="仿宋" w:hAnsi="仿宋"/>
                <w:sz w:val="24"/>
                <w:szCs w:val="24"/>
              </w:rPr>
              <w:t>2</w:t>
            </w:r>
            <w:bookmarkStart w:id="0" w:name="_GoBack"/>
            <w:bookmarkEnd w:id="0"/>
            <w:r>
              <w:rPr>
                <w:rFonts w:ascii="仿宋" w:eastAsia="仿宋" w:hAnsi="仿宋" w:hint="eastAsia"/>
                <w:sz w:val="24"/>
                <w:szCs w:val="24"/>
              </w:rPr>
              <w:t>日</w:t>
            </w:r>
          </w:p>
        </w:tc>
      </w:tr>
    </w:tbl>
    <w:p w:rsidR="00CD6EA5" w:rsidRDefault="002E60B3" w:rsidP="007E4F3B">
      <w:pPr>
        <w:spacing w:line="520" w:lineRule="exact"/>
      </w:pPr>
      <w:r>
        <w:rPr>
          <w:rFonts w:hint="eastAsia"/>
        </w:rPr>
        <w:t xml:space="preserve"> </w:t>
      </w:r>
    </w:p>
    <w:sectPr w:rsidR="00CD6EA5" w:rsidSect="00972556">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EB" w:rsidRDefault="002B0DEB" w:rsidP="004A718E">
      <w:r>
        <w:separator/>
      </w:r>
    </w:p>
  </w:endnote>
  <w:endnote w:type="continuationSeparator" w:id="0">
    <w:p w:rsidR="002B0DEB" w:rsidRDefault="002B0DEB" w:rsidP="004A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EB" w:rsidRDefault="002B0DEB" w:rsidP="004A718E">
      <w:r>
        <w:separator/>
      </w:r>
    </w:p>
  </w:footnote>
  <w:footnote w:type="continuationSeparator" w:id="0">
    <w:p w:rsidR="002B0DEB" w:rsidRDefault="002B0DEB" w:rsidP="004A7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3C"/>
    <w:rsid w:val="00073270"/>
    <w:rsid w:val="000968F1"/>
    <w:rsid w:val="000C2437"/>
    <w:rsid w:val="00107016"/>
    <w:rsid w:val="0011211C"/>
    <w:rsid w:val="001542AB"/>
    <w:rsid w:val="002164EA"/>
    <w:rsid w:val="00285236"/>
    <w:rsid w:val="00287229"/>
    <w:rsid w:val="002B0DEB"/>
    <w:rsid w:val="002B7C76"/>
    <w:rsid w:val="002D28FF"/>
    <w:rsid w:val="002E60B3"/>
    <w:rsid w:val="002F69CF"/>
    <w:rsid w:val="003376A4"/>
    <w:rsid w:val="003F4A76"/>
    <w:rsid w:val="00462D90"/>
    <w:rsid w:val="00492DA2"/>
    <w:rsid w:val="004A4A48"/>
    <w:rsid w:val="004A718E"/>
    <w:rsid w:val="004B6DD9"/>
    <w:rsid w:val="004D57B7"/>
    <w:rsid w:val="004E33BA"/>
    <w:rsid w:val="00507632"/>
    <w:rsid w:val="005819E1"/>
    <w:rsid w:val="005968F5"/>
    <w:rsid w:val="005E20D3"/>
    <w:rsid w:val="005E382B"/>
    <w:rsid w:val="00643A50"/>
    <w:rsid w:val="00656FB8"/>
    <w:rsid w:val="00693E3C"/>
    <w:rsid w:val="00694CB7"/>
    <w:rsid w:val="006B1F70"/>
    <w:rsid w:val="007110DD"/>
    <w:rsid w:val="00781CAC"/>
    <w:rsid w:val="00785DB1"/>
    <w:rsid w:val="007E4F3B"/>
    <w:rsid w:val="007F3B51"/>
    <w:rsid w:val="007F442D"/>
    <w:rsid w:val="008001AB"/>
    <w:rsid w:val="0080781D"/>
    <w:rsid w:val="00875A60"/>
    <w:rsid w:val="008826AC"/>
    <w:rsid w:val="008925C7"/>
    <w:rsid w:val="008A4D8F"/>
    <w:rsid w:val="008B13F8"/>
    <w:rsid w:val="008C7413"/>
    <w:rsid w:val="008E5754"/>
    <w:rsid w:val="00911BED"/>
    <w:rsid w:val="009572FD"/>
    <w:rsid w:val="0096758A"/>
    <w:rsid w:val="00972556"/>
    <w:rsid w:val="00981741"/>
    <w:rsid w:val="009858BE"/>
    <w:rsid w:val="00994002"/>
    <w:rsid w:val="009A23D2"/>
    <w:rsid w:val="009D1F64"/>
    <w:rsid w:val="009E1E2E"/>
    <w:rsid w:val="009F3F47"/>
    <w:rsid w:val="00A10D7A"/>
    <w:rsid w:val="00A128D7"/>
    <w:rsid w:val="00A21780"/>
    <w:rsid w:val="00A269AC"/>
    <w:rsid w:val="00AC6488"/>
    <w:rsid w:val="00AC7119"/>
    <w:rsid w:val="00AD3CD4"/>
    <w:rsid w:val="00AF1A14"/>
    <w:rsid w:val="00B0515F"/>
    <w:rsid w:val="00B265E4"/>
    <w:rsid w:val="00B515F9"/>
    <w:rsid w:val="00C05B0F"/>
    <w:rsid w:val="00C67505"/>
    <w:rsid w:val="00C90036"/>
    <w:rsid w:val="00C97F61"/>
    <w:rsid w:val="00CC7D5C"/>
    <w:rsid w:val="00CD6EA5"/>
    <w:rsid w:val="00D4451E"/>
    <w:rsid w:val="00DA32AD"/>
    <w:rsid w:val="00E206F5"/>
    <w:rsid w:val="00E2279B"/>
    <w:rsid w:val="00E95F59"/>
    <w:rsid w:val="00F37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8463"/>
  <w15:docId w15:val="{FC85C83C-41B9-441B-AC23-5746F988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1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718E"/>
    <w:rPr>
      <w:sz w:val="18"/>
      <w:szCs w:val="18"/>
    </w:rPr>
  </w:style>
  <w:style w:type="paragraph" w:styleId="a5">
    <w:name w:val="footer"/>
    <w:basedOn w:val="a"/>
    <w:link w:val="a6"/>
    <w:uiPriority w:val="99"/>
    <w:unhideWhenUsed/>
    <w:rsid w:val="004A718E"/>
    <w:pPr>
      <w:tabs>
        <w:tab w:val="center" w:pos="4153"/>
        <w:tab w:val="right" w:pos="8306"/>
      </w:tabs>
      <w:snapToGrid w:val="0"/>
      <w:jc w:val="left"/>
    </w:pPr>
    <w:rPr>
      <w:sz w:val="18"/>
      <w:szCs w:val="18"/>
    </w:rPr>
  </w:style>
  <w:style w:type="character" w:customStyle="1" w:styleId="a6">
    <w:name w:val="页脚 字符"/>
    <w:basedOn w:val="a0"/>
    <w:link w:val="a5"/>
    <w:uiPriority w:val="99"/>
    <w:rsid w:val="004A718E"/>
    <w:rPr>
      <w:sz w:val="18"/>
      <w:szCs w:val="18"/>
    </w:rPr>
  </w:style>
  <w:style w:type="table" w:styleId="a7">
    <w:name w:val="Table Grid"/>
    <w:basedOn w:val="a1"/>
    <w:uiPriority w:val="39"/>
    <w:rsid w:val="004A7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382B"/>
    <w:rPr>
      <w:sz w:val="18"/>
      <w:szCs w:val="18"/>
    </w:rPr>
  </w:style>
  <w:style w:type="character" w:customStyle="1" w:styleId="a9">
    <w:name w:val="批注框文本 字符"/>
    <w:basedOn w:val="a0"/>
    <w:link w:val="a8"/>
    <w:uiPriority w:val="99"/>
    <w:semiHidden/>
    <w:rsid w:val="005E382B"/>
    <w:rPr>
      <w:sz w:val="18"/>
      <w:szCs w:val="18"/>
    </w:rPr>
  </w:style>
  <w:style w:type="character" w:styleId="aa">
    <w:name w:val="Intense Emphasis"/>
    <w:basedOn w:val="a0"/>
    <w:uiPriority w:val="21"/>
    <w:qFormat/>
    <w:rsid w:val="005968F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025A1-A5B1-4F74-B88E-62E07002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171</Words>
  <Characters>975</Characters>
  <Application>Microsoft Office Word</Application>
  <DocSecurity>0</DocSecurity>
  <Lines>8</Lines>
  <Paragraphs>2</Paragraphs>
  <ScaleCrop>false</ScaleCrop>
  <Company>Microsoft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化妆品监督管理处_hzpjd</cp:lastModifiedBy>
  <cp:revision>6</cp:revision>
  <cp:lastPrinted>2020-01-22T02:59:00Z</cp:lastPrinted>
  <dcterms:created xsi:type="dcterms:W3CDTF">2020-01-20T01:43:00Z</dcterms:created>
  <dcterms:modified xsi:type="dcterms:W3CDTF">2020-01-22T02:59:00Z</dcterms:modified>
</cp:coreProperties>
</file>