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9D" w:rsidRPr="00A3199D" w:rsidRDefault="00A3199D" w:rsidP="00A3199D">
      <w:pPr>
        <w:widowControl/>
        <w:spacing w:line="4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3199D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A3199D" w:rsidRPr="00A3199D" w:rsidRDefault="00A3199D" w:rsidP="00A3199D">
      <w:pPr>
        <w:widowControl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3199D" w:rsidRPr="00A3199D" w:rsidRDefault="00A3199D" w:rsidP="00A3199D">
      <w:pPr>
        <w:widowControl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3199D">
        <w:rPr>
          <w:rFonts w:ascii="Times New Roman" w:eastAsia="方正小标宋简体" w:hAnsi="Times New Roman" w:cs="Times New Roman"/>
          <w:sz w:val="44"/>
          <w:szCs w:val="44"/>
        </w:rPr>
        <w:t>艾叶炭饮片标准（征求意见稿）</w:t>
      </w:r>
    </w:p>
    <w:p w:rsidR="00A3199D" w:rsidRPr="00A3199D" w:rsidRDefault="00A3199D" w:rsidP="00A3199D">
      <w:pPr>
        <w:widowControl/>
        <w:spacing w:line="400" w:lineRule="exact"/>
        <w:jc w:val="center"/>
        <w:rPr>
          <w:rFonts w:ascii="Times New Roman" w:eastAsia="方正小标宋简体" w:hAnsi="Times New Roman" w:cs="Times New Roman"/>
          <w:bCs/>
          <w:sz w:val="30"/>
          <w:szCs w:val="30"/>
        </w:rPr>
      </w:pPr>
      <w:r w:rsidRPr="00A3199D">
        <w:rPr>
          <w:rFonts w:ascii="Times New Roman" w:eastAsia="方正小标宋简体" w:hAnsi="Times New Roman" w:cs="Times New Roman"/>
          <w:bCs/>
          <w:sz w:val="30"/>
          <w:szCs w:val="30"/>
        </w:rPr>
        <w:t>艾叶炭</w:t>
      </w:r>
    </w:p>
    <w:p w:rsidR="00A3199D" w:rsidRPr="00A3199D" w:rsidRDefault="00A3199D" w:rsidP="00A3199D">
      <w:pPr>
        <w:widowControl/>
        <w:spacing w:line="400" w:lineRule="exact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A3199D">
        <w:rPr>
          <w:rFonts w:ascii="Times New Roman" w:eastAsia="Gulim" w:hAnsi="Times New Roman" w:cs="Times New Roman"/>
          <w:b/>
          <w:bCs/>
          <w:kern w:val="0"/>
          <w:sz w:val="28"/>
          <w:szCs w:val="28"/>
        </w:rPr>
        <w:t>Aiyetan</w:t>
      </w:r>
    </w:p>
    <w:p w:rsidR="00A3199D" w:rsidRPr="00A3199D" w:rsidRDefault="00A3199D" w:rsidP="00A3199D">
      <w:pPr>
        <w:widowControl/>
        <w:spacing w:line="4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A3199D">
        <w:rPr>
          <w:rFonts w:ascii="Times New Roman" w:eastAsia="宋体" w:hAnsi="Times New Roman" w:cs="Times New Roman"/>
          <w:kern w:val="0"/>
          <w:sz w:val="28"/>
          <w:szCs w:val="28"/>
        </w:rPr>
        <w:t>ARTEMISIAE ARGYI FOLIUM CARBONISATUS</w:t>
      </w:r>
    </w:p>
    <w:p w:rsidR="00A3199D" w:rsidRPr="00A3199D" w:rsidRDefault="00A3199D" w:rsidP="00A3199D">
      <w:pPr>
        <w:widowControl/>
        <w:spacing w:line="4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来源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本品为菊科植物艾</w:t>
      </w:r>
      <w:r w:rsidRPr="00A3199D">
        <w:rPr>
          <w:rFonts w:ascii="Times New Roman" w:eastAsia="BatangChe" w:hAnsi="Times New Roman" w:cs="Times New Roman"/>
          <w:i/>
          <w:iCs/>
          <w:color w:val="000000"/>
          <w:sz w:val="24"/>
        </w:rPr>
        <w:t>Artemisia argyi</w:t>
      </w:r>
      <w:r w:rsidRPr="00A3199D">
        <w:rPr>
          <w:rFonts w:ascii="Times New Roman" w:eastAsia="BatangChe" w:hAnsi="Times New Roman" w:cs="Times New Roman"/>
          <w:iCs/>
          <w:color w:val="000000"/>
          <w:sz w:val="24"/>
        </w:rPr>
        <w:t xml:space="preserve"> Lévl.et Vant.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的干燥叶。夏季花未开时采摘，除去杂质，晒干。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黑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炮制</w:t>
      </w:r>
      <w:r w:rsidRPr="00A3199D">
        <w:rPr>
          <w:rFonts w:ascii="Times New Roman" w:eastAsia="黑体" w:hAnsi="Times New Roman" w:cs="Times New Roman"/>
          <w:b/>
          <w:sz w:val="24"/>
        </w:rPr>
        <w:t>】</w:t>
      </w:r>
      <w:r w:rsidRPr="00A3199D">
        <w:rPr>
          <w:rFonts w:ascii="Times New Roman" w:eastAsia="黑体" w:hAnsi="Times New Roman" w:cs="Times New Roman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取艾叶，除去杂质及梗，筛去灰屑，照煅炭法（通则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0213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）炮制，煅透存性，放凉，取出。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性状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  <w:b/>
          <w:sz w:val="24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本品呈黑色，具光泽，质轻易碎，灼烧近无烟。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鉴别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取本品粉末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5g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，加甲醇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-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乙酸乙酯（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1:1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）混合溶液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50ml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，超声处理（功率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250W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，频率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40kHz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20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分钟，滤过，滤液蒸干，残渣加甲醇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1ml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使溶解，作为供试品溶液。另取艾叶对照药材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1g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，置蒸发皿中，摊匀，覆盖表面皿，于酒精灯上加热至炭黑色，放冷，加甲醇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-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乙酸乙酯（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1:1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）混合溶液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20ml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，同法制成对照药材溶液。照薄层色谱法（通则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0502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）试验，吸取上述两种溶液各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10μl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，分别点于同一硅胶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G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薄层板上，以甲苯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-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乙酸乙酯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-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丙酮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-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甲醇（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10:5:5:0.6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）为展开剂，展开，展距约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8cm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，取出，晾干，喷以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10%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硫酸乙醇溶液，在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105</w:t>
      </w:r>
      <w:r w:rsidRPr="00A3199D">
        <w:rPr>
          <w:rFonts w:ascii="宋体" w:eastAsia="宋体" w:hAnsi="宋体" w:cs="宋体" w:hint="eastAsia"/>
          <w:iCs/>
          <w:color w:val="000000"/>
          <w:sz w:val="24"/>
        </w:rPr>
        <w:t>℃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加热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3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～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5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分钟，置紫外光灯（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365nm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）下检视。供试品色谱中，在与对照药材色谱相应的位置上，显一个相同的蓝色荧光斑点。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检查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  <w:sz w:val="24"/>
        </w:rPr>
        <w:t xml:space="preserve"> </w:t>
      </w:r>
      <w:r w:rsidRPr="00A3199D">
        <w:rPr>
          <w:rFonts w:ascii="Times New Roman" w:eastAsia="宋体" w:hAnsi="Times New Roman" w:cs="Times New Roman"/>
        </w:rPr>
        <w:t xml:space="preserve"> </w:t>
      </w:r>
      <w:r w:rsidRPr="00A3199D">
        <w:rPr>
          <w:rFonts w:ascii="Times New Roman" w:eastAsia="黑体" w:hAnsi="Times New Roman" w:cs="Times New Roman"/>
          <w:iCs/>
          <w:color w:val="000000"/>
          <w:sz w:val="24"/>
        </w:rPr>
        <w:t>酸不溶性灰分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 xml:space="preserve"> 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不得过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10.0%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（通则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2302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）。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</w:t>
      </w:r>
      <w:r w:rsidRPr="00A3199D">
        <w:rPr>
          <w:rFonts w:ascii="Times New Roman" w:eastAsia="宋体" w:hAnsi="Times New Roman" w:cs="Times New Roman"/>
          <w:b/>
          <w:sz w:val="24"/>
        </w:rPr>
        <w:t xml:space="preserve">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性味与归经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辛、苦，温；有小毒。归肝、脾、肾经。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功能与主治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  <w:sz w:val="24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温经止血，散寒止痛；外用祛湿止痒。用于吐血，衄血，崩漏，月经过多，胎漏下血，少腹冷痛，经寒不调，宫冷不孕；外治皮肤瘙痒。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炮制作用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</w:rPr>
        <w:t xml:space="preserve"> </w:t>
      </w:r>
      <w:r w:rsidRPr="00A3199D">
        <w:rPr>
          <w:rFonts w:ascii="Times New Roman" w:eastAsia="黑体" w:hAnsi="Times New Roman" w:cs="Times New Roman"/>
          <w:iCs/>
          <w:color w:val="000000"/>
          <w:sz w:val="24"/>
        </w:rPr>
        <w:t>艾叶炭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 xml:space="preserve"> 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增强温经止血，散寒止痛的作用。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宋体" w:hAnsi="Times New Roman" w:cs="Times New Roman"/>
          <w:iCs/>
          <w:color w:val="000000"/>
          <w:sz w:val="24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贮藏</w:t>
      </w:r>
      <w:r w:rsidRPr="00A3199D">
        <w:rPr>
          <w:rFonts w:ascii="Times New Roman" w:eastAsia="宋体" w:hAnsi="Times New Roman" w:cs="Times New Roman"/>
          <w:b/>
          <w:sz w:val="24"/>
        </w:rPr>
        <w:t>】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 xml:space="preserve"> 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置阴凉干燥处。</w:t>
      </w:r>
    </w:p>
    <w:p w:rsidR="00A3199D" w:rsidRPr="00A3199D" w:rsidRDefault="00A3199D" w:rsidP="00A3199D">
      <w:pPr>
        <w:widowControl/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3199D"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 w:rsidRPr="00A3199D">
        <w:rPr>
          <w:rFonts w:ascii="Times New Roman" w:eastAsia="宋体" w:hAnsi="Times New Roman" w:cs="Times New Roman"/>
          <w:bCs/>
          <w:sz w:val="24"/>
        </w:rPr>
        <w:t>【</w:t>
      </w:r>
      <w:r w:rsidRPr="00A3199D">
        <w:rPr>
          <w:rFonts w:ascii="Times New Roman" w:eastAsia="黑体" w:hAnsi="Times New Roman" w:cs="Times New Roman"/>
          <w:bCs/>
          <w:sz w:val="24"/>
        </w:rPr>
        <w:t>药材收载标准</w:t>
      </w:r>
      <w:r w:rsidRPr="00A3199D">
        <w:rPr>
          <w:rFonts w:ascii="Times New Roman" w:eastAsia="宋体" w:hAnsi="Times New Roman" w:cs="Times New Roman"/>
          <w:bCs/>
          <w:sz w:val="24"/>
        </w:rPr>
        <w:t>】</w:t>
      </w:r>
      <w:r w:rsidRPr="00A3199D">
        <w:rPr>
          <w:rFonts w:ascii="Times New Roman" w:eastAsia="宋体" w:hAnsi="Times New Roman" w:cs="Times New Roman"/>
          <w:bCs/>
          <w:iCs/>
          <w:color w:val="000000"/>
          <w:sz w:val="24"/>
        </w:rPr>
        <w:t>《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中国药典</w:t>
      </w:r>
      <w:r w:rsidRPr="00A3199D">
        <w:rPr>
          <w:rFonts w:ascii="Times New Roman" w:eastAsia="宋体" w:hAnsi="Times New Roman" w:cs="Times New Roman"/>
          <w:bCs/>
          <w:iCs/>
          <w:color w:val="000000"/>
          <w:sz w:val="24"/>
        </w:rPr>
        <w:t>》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（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2015</w:t>
      </w:r>
      <w:r w:rsidRPr="00A3199D">
        <w:rPr>
          <w:rFonts w:ascii="Times New Roman" w:eastAsia="宋体" w:hAnsi="Times New Roman" w:cs="Times New Roman"/>
          <w:iCs/>
          <w:color w:val="000000"/>
          <w:sz w:val="24"/>
        </w:rPr>
        <w:t>年版）一部。</w:t>
      </w:r>
    </w:p>
    <w:p w:rsidR="004A5D52" w:rsidRPr="00A3199D" w:rsidRDefault="004A5D52">
      <w:bookmarkStart w:id="0" w:name="_GoBack"/>
      <w:bookmarkEnd w:id="0"/>
    </w:p>
    <w:sectPr w:rsidR="004A5D52" w:rsidRPr="00A3199D" w:rsidSect="00BE0DB0">
      <w:footerReference w:type="even" r:id="rId6"/>
      <w:footerReference w:type="default" r:id="rId7"/>
      <w:pgSz w:w="11906" w:h="16838"/>
      <w:pgMar w:top="170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E6" w:rsidRDefault="00BD0FE6" w:rsidP="00A3199D">
      <w:r>
        <w:separator/>
      </w:r>
    </w:p>
  </w:endnote>
  <w:endnote w:type="continuationSeparator" w:id="0">
    <w:p w:rsidR="00BD0FE6" w:rsidRDefault="00BD0FE6" w:rsidP="00A3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19782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1A1977" w:rsidRPr="001A1977" w:rsidRDefault="00BD0FE6">
        <w:pPr>
          <w:pStyle w:val="a5"/>
          <w:rPr>
            <w:rFonts w:ascii="宋体" w:hAnsi="宋体"/>
            <w:sz w:val="28"/>
            <w:szCs w:val="28"/>
          </w:rPr>
        </w:pPr>
        <w:r w:rsidRPr="001A1977">
          <w:rPr>
            <w:rFonts w:ascii="宋体" w:hAnsi="宋体"/>
            <w:sz w:val="28"/>
            <w:szCs w:val="28"/>
          </w:rPr>
          <w:fldChar w:fldCharType="begin"/>
        </w:r>
        <w:r w:rsidRPr="001A1977">
          <w:rPr>
            <w:rFonts w:ascii="宋体" w:hAnsi="宋体"/>
            <w:sz w:val="28"/>
            <w:szCs w:val="28"/>
          </w:rPr>
          <w:instrText xml:space="preserve">PAGE   \* </w:instrText>
        </w:r>
        <w:r w:rsidRPr="001A1977">
          <w:rPr>
            <w:rFonts w:ascii="宋体" w:hAnsi="宋体"/>
            <w:sz w:val="28"/>
            <w:szCs w:val="28"/>
          </w:rPr>
          <w:instrText>MERGEFORMAT</w:instrText>
        </w:r>
        <w:r w:rsidRPr="001A1977">
          <w:rPr>
            <w:rFonts w:ascii="宋体" w:hAnsi="宋体"/>
            <w:sz w:val="28"/>
            <w:szCs w:val="28"/>
          </w:rPr>
          <w:fldChar w:fldCharType="separate"/>
        </w:r>
        <w:r w:rsidRPr="00BE0DB0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4 -</w:t>
        </w:r>
        <w:r w:rsidRPr="001A1977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4F6837" w:rsidRDefault="00BD0F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74437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8364F" w:rsidRPr="00AD68A4" w:rsidRDefault="00BD0FE6" w:rsidP="001A1977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1A1977">
          <w:rPr>
            <w:rFonts w:ascii="宋体" w:hAnsi="宋体"/>
            <w:sz w:val="28"/>
            <w:szCs w:val="28"/>
          </w:rPr>
          <w:fldChar w:fldCharType="begin"/>
        </w:r>
        <w:r w:rsidRPr="001A1977">
          <w:rPr>
            <w:rFonts w:ascii="宋体" w:hAnsi="宋体"/>
            <w:sz w:val="28"/>
            <w:szCs w:val="28"/>
          </w:rPr>
          <w:instrText>PAGE   \* MERGEFORMAT</w:instrText>
        </w:r>
        <w:r w:rsidRPr="001A1977">
          <w:rPr>
            <w:rFonts w:ascii="宋体" w:hAnsi="宋体"/>
            <w:sz w:val="28"/>
            <w:szCs w:val="28"/>
          </w:rPr>
          <w:fldChar w:fldCharType="separate"/>
        </w:r>
        <w:r w:rsidRPr="00EE79DF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3 -</w:t>
        </w:r>
        <w:r w:rsidRPr="001A1977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4F6837" w:rsidRDefault="00BD0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E6" w:rsidRDefault="00BD0FE6" w:rsidP="00A3199D">
      <w:r>
        <w:separator/>
      </w:r>
    </w:p>
  </w:footnote>
  <w:footnote w:type="continuationSeparator" w:id="0">
    <w:p w:rsidR="00BD0FE6" w:rsidRDefault="00BD0FE6" w:rsidP="00A3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3D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27994"/>
    <w:rsid w:val="00232972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67D91"/>
    <w:rsid w:val="0047533D"/>
    <w:rsid w:val="004A5D52"/>
    <w:rsid w:val="004D6500"/>
    <w:rsid w:val="004D72A9"/>
    <w:rsid w:val="004E4CCA"/>
    <w:rsid w:val="00502547"/>
    <w:rsid w:val="0050480D"/>
    <w:rsid w:val="00534C41"/>
    <w:rsid w:val="0053760F"/>
    <w:rsid w:val="00537FBD"/>
    <w:rsid w:val="005445F5"/>
    <w:rsid w:val="005455B1"/>
    <w:rsid w:val="00552DF2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15C3D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6205"/>
    <w:rsid w:val="0090174D"/>
    <w:rsid w:val="0091521F"/>
    <w:rsid w:val="009171E4"/>
    <w:rsid w:val="00924D19"/>
    <w:rsid w:val="009547ED"/>
    <w:rsid w:val="00957D4E"/>
    <w:rsid w:val="00977570"/>
    <w:rsid w:val="00980A13"/>
    <w:rsid w:val="009973D3"/>
    <w:rsid w:val="009A4595"/>
    <w:rsid w:val="009C3C0F"/>
    <w:rsid w:val="009C3C96"/>
    <w:rsid w:val="009D71AC"/>
    <w:rsid w:val="009E12B0"/>
    <w:rsid w:val="009E3FC5"/>
    <w:rsid w:val="009E6508"/>
    <w:rsid w:val="009E70D1"/>
    <w:rsid w:val="00A14B5C"/>
    <w:rsid w:val="00A14EB7"/>
    <w:rsid w:val="00A3199D"/>
    <w:rsid w:val="00A31AAC"/>
    <w:rsid w:val="00A351EB"/>
    <w:rsid w:val="00A3591F"/>
    <w:rsid w:val="00A53EB5"/>
    <w:rsid w:val="00A57F6C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0FE6"/>
    <w:rsid w:val="00BD34BC"/>
    <w:rsid w:val="00C1245C"/>
    <w:rsid w:val="00C205F0"/>
    <w:rsid w:val="00C238C3"/>
    <w:rsid w:val="00C30159"/>
    <w:rsid w:val="00C43B0F"/>
    <w:rsid w:val="00C55A55"/>
    <w:rsid w:val="00C63CE0"/>
    <w:rsid w:val="00C83132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DBE"/>
    <w:rsid w:val="00E73265"/>
    <w:rsid w:val="00E75BEE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62C9"/>
    <w:rsid w:val="00FB75BE"/>
    <w:rsid w:val="00FC72C4"/>
    <w:rsid w:val="00FD33BC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BE36A1-1E83-499F-A4D5-E82BDFD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9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2019-05-22T02:29:00Z</dcterms:created>
  <dcterms:modified xsi:type="dcterms:W3CDTF">2019-05-22T02:30:00Z</dcterms:modified>
</cp:coreProperties>
</file>