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zh-CN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zh-CN"/>
        </w:rPr>
        <w:t>1</w:t>
      </w:r>
    </w:p>
    <w:p>
      <w:pPr>
        <w:pStyle w:val="4"/>
        <w:widowControl/>
        <w:spacing w:before="0" w:beforeAutospacing="0" w:after="0" w:afterAutospacing="0" w:line="60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四川省药品生产许可快速审查审批实施细则</w:t>
      </w:r>
    </w:p>
    <w:p>
      <w:pPr>
        <w:pStyle w:val="4"/>
        <w:widowControl/>
        <w:spacing w:before="0" w:beforeAutospacing="0" w:after="0" w:afterAutospacing="0" w:line="600" w:lineRule="exact"/>
        <w:jc w:val="center"/>
        <w:rPr>
          <w:rFonts w:hint="default" w:ascii="Times New Roman" w:hAnsi="Times New Roman" w:eastAsia="黑体" w:cs="Times New Roman"/>
          <w:kern w:val="2"/>
          <w:sz w:val="36"/>
          <w:szCs w:val="36"/>
          <w:lang w:val="en" w:eastAsia="zh-CN" w:bidi="zh-CN"/>
        </w:rPr>
      </w:pPr>
      <w:r>
        <w:rPr>
          <w:rFonts w:hint="eastAsia" w:eastAsia="方正小标宋简体"/>
          <w:sz w:val="36"/>
          <w:szCs w:val="36"/>
        </w:rPr>
        <w:t>（试行）修订条款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将第三条第（三）款修订为：“变更药品上市许可持有人的”。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将第五条修订为：“按本细则经风险研判，实行快速审查审批的持有人或者药品生产企业，省局责任监管部门应加强日常监管”。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删除第七条。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将第八条改为第七条，并修订为：“符合以下情形之一的，审评中心经风险评估，可重点现场检查相关项目，其余项目可作资料审查:（一）近两年内车间或者生产线已通过GMP符合性检查，该车间或者生产线再次申请GMP符合性检查的；（二）车间或者生产线改建、扩建，只涉及生产品种前端或者后端生产工序的”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将第九条改为第八条，并修订为：“符合以下情形之一的，由审批处办理：（一）车间或者生产线仅发生名称改变的；（二）药品委托受托许可事项到期需继续委托或者受托的（跨省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受托生产除外）”。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六、删除第十一条。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七、将第十四条改为第十二条，并修订为：“省内委托生产，按照以下规定开展检查：（一）持有人申请GMP符合性检查，持有人已有相应剂型的药品委托生产，省审评中心可结合持有人相应剂型既往GMP符合性检查和风险研判情况,出具综合评定审核意见。（二）受托方相应车间或者生产线未通过GMP符合性检查，持有人和受托方可合并开展GMP符合性检查”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八、将第十五条改为第十三条，并修订为：“跨省委受托生产，按照以下规定开展检查：（一）持有人在省内，受托方在省外的：1.持有人无相应剂型的品种委托生产，受托方相应车间或者生产线已通过GMP符合性检查，可仅对持有人开展GMP符合性检查，根据审评需要，可对受托方开展延伸检查；2.持有人申请GMP符合性检查，持有人已有相应剂型的药品委托生产，受托方相应车间或者生产线已通过GMP符合性检查，省审评中心可结合持有人相应剂型既往GMP符合性检查和风险研判情况,出具综合评定审核意见。（二）持有人在省外，受托方在省内的：1.受托方在《药品生产许可证》上增加“仅限注册申报使用”生产范围或者生产品种（分类码为C），省审评中心可结合相应生产车间或生产线既往检查和风险研判情况,出具综合评定审核意见;2.受托方相应车间或者生产线已通过GMP符合性检查，持有人取得药品注册批准证明文件后，受托方可向审批处申请取消“仅限注册申报使用”标注;3.受托方增加生产范围或者生产品种（分类码为C）的许可检查和GMP符合性检查可合并开展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zh-CN"/>
        </w:rPr>
      </w:pPr>
    </w:p>
    <w:p/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ans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576999"/>
    <w:multiLevelType w:val="singleLevel"/>
    <w:tmpl w:val="D75769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F7537C"/>
    <w:multiLevelType w:val="singleLevel"/>
    <w:tmpl w:val="FCF7537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B83D4"/>
    <w:rsid w:val="5F6FB1B4"/>
    <w:rsid w:val="5FFB8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480" w:lineRule="exact"/>
      <w:ind w:firstLine="567"/>
    </w:pPr>
    <w:rPr>
      <w:rFonts w:ascii="宋体"/>
    </w:rPr>
  </w:style>
  <w:style w:type="paragraph" w:styleId="3">
    <w:name w:val="Body Text"/>
    <w:basedOn w:val="1"/>
    <w:next w:val="1"/>
    <w:qFormat/>
    <w:uiPriority w:val="1"/>
    <w:pPr>
      <w:ind w:left="1419"/>
    </w:pPr>
    <w:rPr>
      <w:rFonts w:ascii="Noto Sans CJK JP Regular" w:hAnsi="Noto Sans CJK JP Regular" w:eastAsia="Noto Sans CJK JP Regular" w:cs="Noto Sans CJK JP Regular"/>
      <w:sz w:val="28"/>
      <w:szCs w:val="28"/>
      <w:lang w:val="zh-CN" w:bidi="zh-C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2024-05-09T00:43:00Z</dcterms:created>
  <dc:creator>windy</dc:creator>
  <cp:lastModifiedBy>windy</cp:lastModifiedBy>
  <dcterms:modified xsi:type="dcterms:W3CDTF">2024-05-11T17:04:18Z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