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对成都蓝风（集团）股份有限公司的飞行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11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成都蓝风（集团）股份有限公司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童俊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91510100202283467W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徐建军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成都经济技术开发区星光中路109号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0" w:firstLineChars="6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 w:firstLineChars="5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2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本次飞行检查共发现缺陷项12项，其中严重缺陷项2项，一般缺陷项10项。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1.特种设备操作人员无相关资格证。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未严格按照生产工艺规程进行生产。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bookmarkStart w:id="0" w:name="_GoBack"/>
            <w:r>
              <w:rPr>
                <w:rFonts w:hint="eastAsia" w:ascii="仿宋" w:hAnsi="仿宋" w:eastAsia="仿宋"/>
                <w:sz w:val="24"/>
                <w:szCs w:val="24"/>
              </w:rPr>
              <w:t>.生产部门负责人履职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能力不足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4.位于制膏车间称量间的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原辅料标识信息不全。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5.位于制膏车间称量间的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部分原料未按产品标识的储存要求进行储存。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6.原料和成品库房无防虫设施。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个别批号的个别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物料发放未按照“先进先出”的原则进行操作。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灌装车间内半成品储存间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的个别半成品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未标识储存期限。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9.流转过程中的物料管理未采取防止差错和交叉污染的措施。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10.女二更衣室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洁净区未保持一定正压差。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11.洁净区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洁净走廊、地面有多处裂缝，洗手池下柜门已锈蚀，不便于清洁。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12.原料库房内个别原料未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按储存要求进行管理。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责令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361" w:bottom="130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C550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6002006"/>
    <w:rsid w:val="08C63706"/>
    <w:rsid w:val="09557F73"/>
    <w:rsid w:val="15C95B94"/>
    <w:rsid w:val="1F6A5B11"/>
    <w:rsid w:val="21C94D13"/>
    <w:rsid w:val="326F35D2"/>
    <w:rsid w:val="36D56C89"/>
    <w:rsid w:val="3E503708"/>
    <w:rsid w:val="425070D2"/>
    <w:rsid w:val="4F345545"/>
    <w:rsid w:val="5ABC3823"/>
    <w:rsid w:val="6DD80FD0"/>
    <w:rsid w:val="77AC1C40"/>
    <w:rsid w:val="7933669E"/>
    <w:rsid w:val="7BF10591"/>
    <w:rsid w:val="7D3F0B3F"/>
    <w:rsid w:val="7F3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2020-12-02T07:26:20Z</cp:lastPrinted>
  <dcterms:modified xsi:type="dcterms:W3CDTF">2020-12-02T07:30:10Z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