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对成都星丽仕化妆品有限责任公司的飞行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4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成都星丽仕化妆品有限责任公司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20160005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91510132077674580T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邵玉慧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张开俊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四川新津县工业园区兴园七路</w:t>
            </w:r>
            <w:r>
              <w:rPr>
                <w:rFonts w:ascii="仿宋" w:hAnsi="仿宋" w:eastAsia="仿宋"/>
                <w:sz w:val="24"/>
                <w:szCs w:val="24"/>
              </w:rPr>
              <w:t>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经现场检查确认，企业于</w:t>
            </w:r>
            <w:r>
              <w:rPr>
                <w:rFonts w:ascii="仿宋" w:hAnsi="仿宋" w:eastAsia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处于停产状态。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企业恢复生产前，应书面报告四川省药品监督管理局化妆品监管处，经核查验收符合要求前不得恢复生产。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7AFF"/>
    <w:rsid w:val="000C6FDD"/>
    <w:rsid w:val="001766D9"/>
    <w:rsid w:val="001D500A"/>
    <w:rsid w:val="002164EA"/>
    <w:rsid w:val="00255719"/>
    <w:rsid w:val="00270F37"/>
    <w:rsid w:val="00277D42"/>
    <w:rsid w:val="002A5F45"/>
    <w:rsid w:val="002C5F71"/>
    <w:rsid w:val="002E6023"/>
    <w:rsid w:val="00317A85"/>
    <w:rsid w:val="003374D3"/>
    <w:rsid w:val="003477B2"/>
    <w:rsid w:val="00351B1B"/>
    <w:rsid w:val="00387638"/>
    <w:rsid w:val="0039636A"/>
    <w:rsid w:val="003F00E5"/>
    <w:rsid w:val="003F4A76"/>
    <w:rsid w:val="00465207"/>
    <w:rsid w:val="00467352"/>
    <w:rsid w:val="004A4A48"/>
    <w:rsid w:val="004A718E"/>
    <w:rsid w:val="004D421E"/>
    <w:rsid w:val="004D57B7"/>
    <w:rsid w:val="005542D6"/>
    <w:rsid w:val="00573873"/>
    <w:rsid w:val="00620F20"/>
    <w:rsid w:val="0063434E"/>
    <w:rsid w:val="00643493"/>
    <w:rsid w:val="00693E3C"/>
    <w:rsid w:val="00694CB7"/>
    <w:rsid w:val="006B5EFD"/>
    <w:rsid w:val="006D4196"/>
    <w:rsid w:val="006F189A"/>
    <w:rsid w:val="00760423"/>
    <w:rsid w:val="00763241"/>
    <w:rsid w:val="007711B2"/>
    <w:rsid w:val="00781CAC"/>
    <w:rsid w:val="00785DB1"/>
    <w:rsid w:val="007F36DB"/>
    <w:rsid w:val="008001AB"/>
    <w:rsid w:val="00804FC4"/>
    <w:rsid w:val="0093183D"/>
    <w:rsid w:val="00961A9E"/>
    <w:rsid w:val="0099272D"/>
    <w:rsid w:val="009E5E67"/>
    <w:rsid w:val="00A10D7A"/>
    <w:rsid w:val="00A31FA0"/>
    <w:rsid w:val="00AC1814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DE342A"/>
    <w:rsid w:val="00E206F5"/>
    <w:rsid w:val="00E63CD7"/>
    <w:rsid w:val="00E7159F"/>
    <w:rsid w:val="00F42E61"/>
    <w:rsid w:val="00FB5AD0"/>
    <w:rsid w:val="0A6C0D60"/>
    <w:rsid w:val="24B87409"/>
    <w:rsid w:val="34D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CD0E0-E55D-46B2-8C0A-CCE7991303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309</Characters>
  <Lines>2</Lines>
  <Paragraphs>1</Paragraphs>
  <TotalTime>8</TotalTime>
  <ScaleCrop>false</ScaleCrop>
  <LinksUpToDate>false</LinksUpToDate>
  <CharactersWithSpaces>362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2020-10-13T03:15:00Z</dcterms:created>
  <dc:creator>lenovo</dc:creator>
  <cp:lastModifiedBy>321</cp:lastModifiedBy>
  <cp:lastPrinted>2020-11-02T06:53:00Z</cp:lastPrinted>
  <dcterms:modified xsi:type="dcterms:W3CDTF">2020-11-03T07:01:01Z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