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jc w:val="center"/>
        <w:rPr>
          <w:rFonts w:hint="eastAsia" w:ascii="方正小标宋简体" w:hAnsi="方正小标宋简体" w:eastAsia="方正小标宋简体" w:cs="方正小标宋简体"/>
          <w:color w:val="000000"/>
          <w:kern w:val="0"/>
          <w:sz w:val="36"/>
          <w:szCs w:val="36"/>
          <w:lang w:val="en-US" w:eastAsia="zh-CN" w:bidi="ar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36"/>
          <w:szCs w:val="36"/>
          <w:lang w:val="en-US" w:eastAsia="zh-CN" w:bidi="ar"/>
        </w:rPr>
        <w:t>麻醉药品、精神药品购买审批信息表</w:t>
      </w:r>
    </w:p>
    <w:p>
      <w:pPr>
        <w:keepNext w:val="0"/>
        <w:keepLines w:val="0"/>
        <w:widowControl/>
        <w:suppressLineNumbers w:val="0"/>
        <w:jc w:val="center"/>
        <w:rPr>
          <w:rFonts w:hint="eastAsia" w:ascii="仿宋_GB2312" w:hAnsi="宋体" w:eastAsia="仿宋_GB2312" w:cs="仿宋_GB2312"/>
          <w:color w:val="000000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宋体" w:eastAsia="仿宋_GB2312" w:cs="仿宋_GB2312"/>
          <w:color w:val="000000"/>
          <w:kern w:val="0"/>
          <w:sz w:val="31"/>
          <w:szCs w:val="31"/>
          <w:lang w:val="en-US" w:eastAsia="zh-CN" w:bidi="ar"/>
        </w:rPr>
        <w:t>（2024年第8期，2024年4月28日-2024年4月30日）</w:t>
      </w:r>
    </w:p>
    <w:tbl>
      <w:tblPr>
        <w:tblStyle w:val="3"/>
        <w:tblpPr w:leftFromText="180" w:rightFromText="180" w:vertAnchor="text" w:horzAnchor="page" w:tblpX="1018" w:tblpY="692"/>
        <w:tblOverlap w:val="never"/>
        <w:tblW w:w="1469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20"/>
        <w:gridCol w:w="1140"/>
        <w:gridCol w:w="1320"/>
        <w:gridCol w:w="1080"/>
        <w:gridCol w:w="1741"/>
        <w:gridCol w:w="869"/>
        <w:gridCol w:w="1132"/>
        <w:gridCol w:w="968"/>
        <w:gridCol w:w="3630"/>
        <w:gridCol w:w="675"/>
        <w:gridCol w:w="735"/>
        <w:gridCol w:w="88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6" w:hRule="atLeast"/>
        </w:trPr>
        <w:tc>
          <w:tcPr>
            <w:tcW w:w="520" w:type="dxa"/>
            <w:noWrap w:val="0"/>
            <w:vAlign w:val="center"/>
          </w:tcPr>
          <w:p>
            <w:pPr>
              <w:widowControl/>
              <w:numPr>
                <w:ilvl w:val="0"/>
                <w:numId w:val="0"/>
              </w:numPr>
              <w:jc w:val="center"/>
              <w:textAlignment w:val="center"/>
              <w:rPr>
                <w:rFonts w:hint="eastAsia" w:ascii="华文仿宋" w:hAnsi="华文仿宋" w:eastAsia="华文仿宋" w:cs="华文仿宋"/>
                <w:b/>
                <w:color w:val="000000"/>
                <w:kern w:val="0"/>
                <w:sz w:val="20"/>
                <w:szCs w:val="20"/>
                <w:vertAlign w:val="baseline"/>
                <w:lang w:val="en-US" w:eastAsia="zh-CN" w:bidi="ar"/>
              </w:rPr>
            </w:pPr>
            <w:r>
              <w:rPr>
                <w:rFonts w:hint="eastAsia" w:ascii="华文仿宋" w:hAnsi="华文仿宋" w:eastAsia="华文仿宋" w:cs="华文仿宋"/>
                <w:b/>
                <w:color w:val="000000"/>
                <w:kern w:val="0"/>
                <w:sz w:val="20"/>
                <w:szCs w:val="20"/>
                <w:vertAlign w:val="baseline"/>
                <w:lang w:val="en-US" w:eastAsia="zh-CN" w:bidi="ar"/>
              </w:rPr>
              <w:t>序号</w:t>
            </w:r>
          </w:p>
        </w:tc>
        <w:tc>
          <w:tcPr>
            <w:tcW w:w="1140" w:type="dxa"/>
            <w:noWrap w:val="0"/>
            <w:vAlign w:val="center"/>
          </w:tcPr>
          <w:p>
            <w:pPr>
              <w:widowControl/>
              <w:numPr>
                <w:ilvl w:val="0"/>
                <w:numId w:val="0"/>
              </w:numPr>
              <w:jc w:val="center"/>
              <w:textAlignment w:val="center"/>
              <w:rPr>
                <w:rFonts w:hint="eastAsia" w:ascii="华文仿宋" w:hAnsi="华文仿宋" w:eastAsia="华文仿宋" w:cs="华文仿宋"/>
                <w:b/>
                <w:color w:val="000000"/>
                <w:kern w:val="0"/>
                <w:sz w:val="20"/>
                <w:szCs w:val="20"/>
                <w:vertAlign w:val="baseline"/>
                <w:lang w:val="en-US" w:eastAsia="zh-CN" w:bidi="ar"/>
              </w:rPr>
            </w:pPr>
            <w:r>
              <w:rPr>
                <w:rFonts w:hint="eastAsia" w:ascii="华文仿宋" w:hAnsi="华文仿宋" w:eastAsia="华文仿宋" w:cs="华文仿宋"/>
                <w:b/>
                <w:color w:val="000000"/>
                <w:kern w:val="0"/>
                <w:sz w:val="20"/>
                <w:szCs w:val="20"/>
                <w:u w:val="none"/>
                <w:vertAlign w:val="baseline"/>
                <w:lang w:val="en-US" w:eastAsia="zh-CN" w:bidi="ar"/>
              </w:rPr>
              <w:t>项目名称</w:t>
            </w:r>
          </w:p>
        </w:tc>
        <w:tc>
          <w:tcPr>
            <w:tcW w:w="1320" w:type="dxa"/>
            <w:noWrap w:val="0"/>
            <w:vAlign w:val="center"/>
          </w:tcPr>
          <w:p>
            <w:pPr>
              <w:widowControl/>
              <w:numPr>
                <w:ilvl w:val="0"/>
                <w:numId w:val="0"/>
              </w:numPr>
              <w:jc w:val="center"/>
              <w:textAlignment w:val="center"/>
              <w:rPr>
                <w:rFonts w:hint="eastAsia" w:ascii="华文仿宋" w:hAnsi="华文仿宋" w:eastAsia="华文仿宋" w:cs="华文仿宋"/>
                <w:b/>
                <w:color w:val="000000"/>
                <w:kern w:val="0"/>
                <w:sz w:val="20"/>
                <w:szCs w:val="20"/>
                <w:vertAlign w:val="baseline"/>
                <w:lang w:val="en-US" w:eastAsia="zh-CN" w:bidi="ar"/>
              </w:rPr>
            </w:pPr>
            <w:r>
              <w:rPr>
                <w:rFonts w:hint="eastAsia" w:ascii="华文仿宋" w:hAnsi="华文仿宋" w:eastAsia="华文仿宋" w:cs="华文仿宋"/>
                <w:b/>
                <w:color w:val="000000"/>
                <w:kern w:val="0"/>
                <w:sz w:val="20"/>
                <w:szCs w:val="20"/>
                <w:u w:val="none"/>
                <w:vertAlign w:val="baseline"/>
                <w:lang w:val="en-US" w:eastAsia="zh-CN" w:bidi="ar"/>
              </w:rPr>
              <w:t>行政相对人名称</w:t>
            </w:r>
          </w:p>
        </w:tc>
        <w:tc>
          <w:tcPr>
            <w:tcW w:w="1080" w:type="dxa"/>
            <w:noWrap w:val="0"/>
            <w:vAlign w:val="center"/>
          </w:tcPr>
          <w:p>
            <w:pPr>
              <w:widowControl/>
              <w:numPr>
                <w:ilvl w:val="0"/>
                <w:numId w:val="0"/>
              </w:numPr>
              <w:jc w:val="center"/>
              <w:textAlignment w:val="center"/>
              <w:rPr>
                <w:rFonts w:hint="eastAsia" w:ascii="华文仿宋" w:hAnsi="华文仿宋" w:eastAsia="华文仿宋" w:cs="华文仿宋"/>
                <w:b/>
                <w:color w:val="000000"/>
                <w:kern w:val="0"/>
                <w:sz w:val="20"/>
                <w:szCs w:val="20"/>
                <w:vertAlign w:val="baseline"/>
                <w:lang w:val="en-US" w:eastAsia="zh-CN" w:bidi="ar"/>
              </w:rPr>
            </w:pPr>
            <w:r>
              <w:rPr>
                <w:rFonts w:hint="eastAsia" w:ascii="华文仿宋" w:hAnsi="华文仿宋" w:eastAsia="华文仿宋" w:cs="华文仿宋"/>
                <w:b/>
                <w:color w:val="000000"/>
                <w:kern w:val="0"/>
                <w:sz w:val="20"/>
                <w:szCs w:val="20"/>
                <w:u w:val="none"/>
                <w:vertAlign w:val="baseline"/>
                <w:lang w:val="en-US" w:eastAsia="zh-CN" w:bidi="ar"/>
              </w:rPr>
              <w:t>统一社会信用代码</w:t>
            </w:r>
          </w:p>
        </w:tc>
        <w:tc>
          <w:tcPr>
            <w:tcW w:w="1741" w:type="dxa"/>
            <w:noWrap w:val="0"/>
            <w:vAlign w:val="center"/>
          </w:tcPr>
          <w:p>
            <w:pPr>
              <w:widowControl/>
              <w:numPr>
                <w:ilvl w:val="0"/>
                <w:numId w:val="0"/>
              </w:numPr>
              <w:jc w:val="center"/>
              <w:textAlignment w:val="center"/>
              <w:rPr>
                <w:rFonts w:hint="eastAsia" w:ascii="华文仿宋" w:hAnsi="华文仿宋" w:eastAsia="华文仿宋" w:cs="华文仿宋"/>
                <w:b/>
                <w:color w:val="000000"/>
                <w:kern w:val="0"/>
                <w:sz w:val="20"/>
                <w:szCs w:val="20"/>
                <w:vertAlign w:val="baseline"/>
                <w:lang w:val="en-US" w:eastAsia="zh-CN" w:bidi="ar"/>
              </w:rPr>
            </w:pPr>
            <w:r>
              <w:rPr>
                <w:rFonts w:hint="eastAsia" w:ascii="华文仿宋" w:hAnsi="华文仿宋" w:eastAsia="华文仿宋" w:cs="华文仿宋"/>
                <w:b/>
                <w:color w:val="000000"/>
                <w:kern w:val="0"/>
                <w:sz w:val="20"/>
                <w:szCs w:val="20"/>
                <w:u w:val="none"/>
                <w:vertAlign w:val="baseline"/>
                <w:lang w:val="en-US" w:eastAsia="zh-CN" w:bidi="ar"/>
              </w:rPr>
              <w:t>住所</w:t>
            </w:r>
          </w:p>
        </w:tc>
        <w:tc>
          <w:tcPr>
            <w:tcW w:w="869" w:type="dxa"/>
            <w:noWrap w:val="0"/>
            <w:vAlign w:val="center"/>
          </w:tcPr>
          <w:p>
            <w:pPr>
              <w:widowControl/>
              <w:numPr>
                <w:ilvl w:val="0"/>
                <w:numId w:val="0"/>
              </w:numPr>
              <w:ind w:left="0" w:leftChars="0" w:firstLine="0" w:firstLineChars="0"/>
              <w:jc w:val="center"/>
              <w:textAlignment w:val="center"/>
              <w:rPr>
                <w:rFonts w:hint="eastAsia" w:ascii="华文仿宋" w:hAnsi="华文仿宋" w:eastAsia="华文仿宋" w:cs="华文仿宋"/>
                <w:b/>
                <w:color w:val="000000"/>
                <w:kern w:val="0"/>
                <w:sz w:val="20"/>
                <w:szCs w:val="20"/>
                <w:vertAlign w:val="baseline"/>
                <w:lang w:val="en-US" w:eastAsia="zh-CN" w:bidi="ar"/>
              </w:rPr>
            </w:pPr>
            <w:r>
              <w:rPr>
                <w:rFonts w:hint="eastAsia" w:ascii="华文仿宋" w:hAnsi="华文仿宋" w:eastAsia="华文仿宋" w:cs="华文仿宋"/>
                <w:b/>
                <w:color w:val="000000"/>
                <w:kern w:val="0"/>
                <w:sz w:val="20"/>
                <w:szCs w:val="20"/>
                <w:u w:val="none"/>
                <w:vertAlign w:val="baseline"/>
                <w:lang w:val="en-US" w:eastAsia="zh-CN" w:bidi="ar"/>
              </w:rPr>
              <w:t>法定代表人</w:t>
            </w:r>
          </w:p>
        </w:tc>
        <w:tc>
          <w:tcPr>
            <w:tcW w:w="1132" w:type="dxa"/>
            <w:noWrap w:val="0"/>
            <w:vAlign w:val="center"/>
          </w:tcPr>
          <w:p>
            <w:pPr>
              <w:widowControl/>
              <w:numPr>
                <w:ilvl w:val="0"/>
                <w:numId w:val="0"/>
              </w:numPr>
              <w:ind w:left="0" w:leftChars="0" w:firstLine="0" w:firstLineChars="0"/>
              <w:jc w:val="center"/>
              <w:textAlignment w:val="center"/>
              <w:rPr>
                <w:rFonts w:hint="eastAsia" w:ascii="华文仿宋" w:hAnsi="华文仿宋" w:eastAsia="华文仿宋" w:cs="华文仿宋"/>
                <w:b/>
                <w:color w:val="000000"/>
                <w:kern w:val="0"/>
                <w:sz w:val="20"/>
                <w:szCs w:val="20"/>
                <w:vertAlign w:val="baseline"/>
                <w:lang w:val="en-US" w:eastAsia="zh-CN" w:bidi="ar"/>
              </w:rPr>
            </w:pPr>
            <w:r>
              <w:rPr>
                <w:rFonts w:hint="eastAsia" w:ascii="华文仿宋" w:hAnsi="华文仿宋" w:eastAsia="华文仿宋" w:cs="华文仿宋"/>
                <w:b/>
                <w:color w:val="000000"/>
                <w:kern w:val="0"/>
                <w:sz w:val="20"/>
                <w:szCs w:val="20"/>
                <w:u w:val="none"/>
                <w:vertAlign w:val="baseline"/>
                <w:lang w:val="en-US" w:eastAsia="zh-CN" w:bidi="ar"/>
              </w:rPr>
              <w:t>许可决定文书名称</w:t>
            </w:r>
          </w:p>
        </w:tc>
        <w:tc>
          <w:tcPr>
            <w:tcW w:w="968" w:type="dxa"/>
            <w:noWrap w:val="0"/>
            <w:vAlign w:val="center"/>
          </w:tcPr>
          <w:p>
            <w:pPr>
              <w:widowControl/>
              <w:numPr>
                <w:ilvl w:val="0"/>
                <w:numId w:val="0"/>
              </w:numPr>
              <w:ind w:left="0" w:leftChars="0" w:firstLine="0" w:firstLineChars="0"/>
              <w:jc w:val="center"/>
              <w:textAlignment w:val="center"/>
              <w:rPr>
                <w:rFonts w:hint="eastAsia" w:ascii="华文仿宋" w:hAnsi="华文仿宋" w:eastAsia="华文仿宋" w:cs="华文仿宋"/>
                <w:b/>
                <w:color w:val="000000"/>
                <w:kern w:val="0"/>
                <w:sz w:val="20"/>
                <w:szCs w:val="20"/>
                <w:vertAlign w:val="baseline"/>
                <w:lang w:val="en-US" w:eastAsia="zh-CN" w:bidi="ar"/>
              </w:rPr>
            </w:pPr>
            <w:r>
              <w:rPr>
                <w:rFonts w:hint="eastAsia" w:ascii="华文仿宋" w:hAnsi="华文仿宋" w:eastAsia="华文仿宋" w:cs="华文仿宋"/>
                <w:b/>
                <w:color w:val="000000"/>
                <w:kern w:val="0"/>
                <w:sz w:val="20"/>
                <w:szCs w:val="20"/>
                <w:u w:val="none"/>
                <w:vertAlign w:val="baseline"/>
                <w:lang w:val="en-US" w:eastAsia="zh-CN" w:bidi="ar"/>
              </w:rPr>
              <w:t>行政许可决定书文号</w:t>
            </w:r>
          </w:p>
        </w:tc>
        <w:tc>
          <w:tcPr>
            <w:tcW w:w="3630" w:type="dxa"/>
            <w:noWrap w:val="0"/>
            <w:vAlign w:val="center"/>
          </w:tcPr>
          <w:p>
            <w:pPr>
              <w:widowControl/>
              <w:numPr>
                <w:ilvl w:val="0"/>
                <w:numId w:val="0"/>
              </w:numPr>
              <w:ind w:left="0" w:leftChars="0" w:firstLine="0" w:firstLineChars="0"/>
              <w:jc w:val="center"/>
              <w:textAlignment w:val="center"/>
              <w:rPr>
                <w:rFonts w:hint="eastAsia" w:ascii="华文仿宋" w:hAnsi="华文仿宋" w:eastAsia="华文仿宋" w:cs="华文仿宋"/>
                <w:b/>
                <w:color w:val="000000"/>
                <w:kern w:val="0"/>
                <w:sz w:val="20"/>
                <w:szCs w:val="20"/>
                <w:vertAlign w:val="baseline"/>
                <w:lang w:val="en-US" w:eastAsia="zh-CN" w:bidi="ar"/>
              </w:rPr>
            </w:pPr>
            <w:r>
              <w:rPr>
                <w:rFonts w:hint="eastAsia" w:ascii="华文仿宋" w:hAnsi="华文仿宋" w:eastAsia="华文仿宋" w:cs="华文仿宋"/>
                <w:b/>
                <w:color w:val="000000"/>
                <w:kern w:val="0"/>
                <w:sz w:val="20"/>
                <w:szCs w:val="20"/>
                <w:u w:val="none"/>
                <w:vertAlign w:val="baseline"/>
                <w:lang w:val="en-US" w:eastAsia="zh-CN" w:bidi="ar"/>
              </w:rPr>
              <w:t>许可内容</w:t>
            </w:r>
          </w:p>
        </w:tc>
        <w:tc>
          <w:tcPr>
            <w:tcW w:w="67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华文仿宋" w:hAnsi="华文仿宋" w:eastAsia="华文仿宋" w:cs="华文仿宋"/>
                <w:b/>
                <w:color w:val="000000"/>
                <w:kern w:val="0"/>
                <w:sz w:val="20"/>
                <w:szCs w:val="20"/>
                <w:u w:val="none"/>
                <w:vertAlign w:val="baseline"/>
                <w:lang w:val="en-US" w:eastAsia="zh-CN" w:bidi="ar"/>
              </w:rPr>
              <w:t>许可决定日期</w:t>
            </w:r>
          </w:p>
        </w:tc>
        <w:tc>
          <w:tcPr>
            <w:tcW w:w="73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华文仿宋" w:hAnsi="华文仿宋" w:eastAsia="华文仿宋" w:cs="华文仿宋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许可机关</w:t>
            </w:r>
          </w:p>
        </w:tc>
        <w:tc>
          <w:tcPr>
            <w:tcW w:w="88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华文仿宋" w:hAnsi="华文仿宋" w:eastAsia="华文仿宋" w:cs="华文仿宋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委托实施机关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6" w:hRule="atLeast"/>
        </w:trPr>
        <w:tc>
          <w:tcPr>
            <w:tcW w:w="520" w:type="dxa"/>
            <w:noWrap w:val="0"/>
            <w:vAlign w:val="center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  <w:highlight w:val="none"/>
                <w:lang w:val="en-US" w:eastAsia="zh-CN"/>
              </w:rPr>
              <w:t>1</w:t>
            </w:r>
          </w:p>
        </w:tc>
        <w:tc>
          <w:tcPr>
            <w:tcW w:w="1140" w:type="dxa"/>
            <w:noWrap w:val="0"/>
            <w:vAlign w:val="center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highlight w:val="none"/>
                <w:lang w:val="en-US" w:eastAsia="zh-CN"/>
              </w:rPr>
              <w:t>麻醉药品、精神药品购买审批</w:t>
            </w:r>
          </w:p>
        </w:tc>
        <w:tc>
          <w:tcPr>
            <w:tcW w:w="1320" w:type="dxa"/>
            <w:noWrap w:val="0"/>
            <w:vAlign w:val="center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highlight w:val="none"/>
                <w:lang w:val="en-US" w:eastAsia="zh-CN"/>
              </w:rPr>
              <w:t>四川汇宇海玥医药科技有限公司</w:t>
            </w:r>
          </w:p>
        </w:tc>
        <w:tc>
          <w:tcPr>
            <w:tcW w:w="1080" w:type="dxa"/>
            <w:noWrap w:val="0"/>
            <w:vAlign w:val="center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highlight w:val="none"/>
                <w:lang w:val="en-US" w:eastAsia="zh-CN"/>
              </w:rPr>
              <w:t>91510100MA6BW7WA7D</w:t>
            </w:r>
          </w:p>
        </w:tc>
        <w:tc>
          <w:tcPr>
            <w:tcW w:w="1741" w:type="dxa"/>
            <w:noWrap w:val="0"/>
            <w:vAlign w:val="center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highlight w:val="none"/>
                <w:lang w:val="en-US" w:eastAsia="zh-CN"/>
              </w:rPr>
              <w:t>成都天府国际生物城（双流区岐黄二路1533号）</w:t>
            </w:r>
          </w:p>
        </w:tc>
        <w:tc>
          <w:tcPr>
            <w:tcW w:w="869" w:type="dxa"/>
            <w:noWrap w:val="0"/>
            <w:vAlign w:val="center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highlight w:val="none"/>
                <w:lang w:val="en-US" w:eastAsia="zh-CN"/>
              </w:rPr>
              <w:t>丁兆</w:t>
            </w:r>
          </w:p>
        </w:tc>
        <w:tc>
          <w:tcPr>
            <w:tcW w:w="1132" w:type="dxa"/>
            <w:noWrap w:val="0"/>
            <w:vAlign w:val="center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highlight w:val="none"/>
                <w:lang w:val="en-US" w:eastAsia="zh-CN"/>
              </w:rPr>
              <w:t>麻醉药品、精神药品购用证明</w:t>
            </w:r>
          </w:p>
        </w:tc>
        <w:tc>
          <w:tcPr>
            <w:tcW w:w="968" w:type="dxa"/>
            <w:noWrap w:val="0"/>
            <w:vAlign w:val="center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highlight w:val="none"/>
                <w:lang w:val="en-US" w:eastAsia="zh-CN"/>
              </w:rPr>
              <w:t>川麻精购字第2024012</w:t>
            </w:r>
            <w:r>
              <w:rPr>
                <w:rFonts w:hint="default" w:asciiTheme="minorEastAsia" w:hAnsiTheme="minorEastAsia" w:cstheme="minorEastAsia"/>
                <w:sz w:val="18"/>
                <w:szCs w:val="18"/>
                <w:highlight w:val="none"/>
                <w:lang w:val="en" w:eastAsia="zh-CN"/>
              </w:rPr>
              <w:t>4</w:t>
            </w:r>
          </w:p>
        </w:tc>
        <w:tc>
          <w:tcPr>
            <w:tcW w:w="363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Theme="minorEastAsia" w:hAnsiTheme="minorEastAsia" w:eastAsiaTheme="minorEastAsia" w:cstheme="minorEastAsia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highlight w:val="none"/>
                <w:lang w:val="en-US" w:eastAsia="zh-CN"/>
              </w:rPr>
              <w:t>注射用苯巴比妥钠 0.1g/瓶(6)供应单位：上海控股四川有限公司</w:t>
            </w:r>
          </w:p>
        </w:tc>
        <w:tc>
          <w:tcPr>
            <w:tcW w:w="675" w:type="dxa"/>
            <w:noWrap w:val="0"/>
            <w:vAlign w:val="center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highlight w:val="none"/>
                <w:lang w:val="en-US" w:eastAsia="zh-CN"/>
              </w:rPr>
              <w:t>2024-0</w:t>
            </w:r>
            <w:r>
              <w:rPr>
                <w:rFonts w:hint="default" w:asciiTheme="minorEastAsia" w:hAnsiTheme="minorEastAsia" w:cstheme="minorEastAsia"/>
                <w:sz w:val="18"/>
                <w:szCs w:val="18"/>
                <w:highlight w:val="none"/>
                <w:lang w:val="en" w:eastAsia="zh-CN"/>
              </w:rPr>
              <w:t>4</w:t>
            </w: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highlight w:val="none"/>
                <w:lang w:val="en-US" w:eastAsia="zh-CN"/>
              </w:rPr>
              <w:t>-</w:t>
            </w:r>
            <w:r>
              <w:rPr>
                <w:rFonts w:hint="default" w:asciiTheme="minorEastAsia" w:hAnsiTheme="minorEastAsia" w:cstheme="minorEastAsia"/>
                <w:sz w:val="18"/>
                <w:szCs w:val="18"/>
                <w:highlight w:val="none"/>
                <w:lang w:val="en" w:eastAsia="zh-CN"/>
              </w:rPr>
              <w:t>28</w:t>
            </w:r>
          </w:p>
        </w:tc>
        <w:tc>
          <w:tcPr>
            <w:tcW w:w="735" w:type="dxa"/>
            <w:noWrap w:val="0"/>
            <w:vAlign w:val="center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highlight w:val="none"/>
                <w:lang w:val="en-US" w:eastAsia="zh-CN"/>
              </w:rPr>
              <w:t>四川省药品监督管理局</w:t>
            </w:r>
          </w:p>
        </w:tc>
        <w:tc>
          <w:tcPr>
            <w:tcW w:w="885" w:type="dxa"/>
            <w:noWrap w:val="0"/>
            <w:vAlign w:val="center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sz w:val="18"/>
                <w:szCs w:val="18"/>
                <w:highlight w:val="none"/>
                <w:lang w:val="en-US" w:eastAsia="zh-CN"/>
              </w:rPr>
              <w:t>成都</w:t>
            </w: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highlight w:val="none"/>
                <w:lang w:val="en-US" w:eastAsia="zh-CN"/>
              </w:rPr>
              <w:t>市</w:t>
            </w: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vertAlign w:val="baseline"/>
                <w:lang w:val="en-US" w:eastAsia="zh-CN"/>
              </w:rPr>
              <w:t>市场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lang w:val="en-US" w:eastAsia="zh-CN" w:bidi="ar"/>
              </w:rPr>
              <w:t>监督管理局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6" w:hRule="atLeast"/>
        </w:trPr>
        <w:tc>
          <w:tcPr>
            <w:tcW w:w="520" w:type="dxa"/>
            <w:noWrap w:val="0"/>
            <w:vAlign w:val="center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sz w:val="18"/>
                <w:szCs w:val="18"/>
                <w:highlight w:val="none"/>
                <w:lang w:val="en" w:eastAsia="zh-CN"/>
              </w:rPr>
              <w:t>2</w:t>
            </w:r>
          </w:p>
        </w:tc>
        <w:tc>
          <w:tcPr>
            <w:tcW w:w="1140" w:type="dxa"/>
            <w:noWrap w:val="0"/>
            <w:vAlign w:val="center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highlight w:val="none"/>
                <w:lang w:val="en-US" w:eastAsia="zh-CN"/>
              </w:rPr>
              <w:t>麻醉药品、精神药品购买审批</w:t>
            </w:r>
          </w:p>
        </w:tc>
        <w:tc>
          <w:tcPr>
            <w:tcW w:w="1320" w:type="dxa"/>
            <w:noWrap w:val="0"/>
            <w:vAlign w:val="center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highlight w:val="none"/>
                <w:lang w:val="en-US" w:eastAsia="zh-CN"/>
              </w:rPr>
              <w:t>四川夏派森医药科技有限公司</w:t>
            </w:r>
          </w:p>
        </w:tc>
        <w:tc>
          <w:tcPr>
            <w:tcW w:w="1080" w:type="dxa"/>
            <w:noWrap w:val="0"/>
            <w:vAlign w:val="center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highlight w:val="none"/>
                <w:lang w:val="en-US" w:eastAsia="zh-CN"/>
              </w:rPr>
              <w:t>91510115MA61UXXG32</w:t>
            </w:r>
          </w:p>
        </w:tc>
        <w:tc>
          <w:tcPr>
            <w:tcW w:w="1741" w:type="dxa"/>
            <w:noWrap w:val="0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  <w:highlight w:val="none"/>
                <w:lang w:val="en-US" w:eastAsia="zh-CN"/>
              </w:rPr>
            </w:pPr>
          </w:p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highlight w:val="none"/>
                <w:lang w:val="en-US" w:eastAsia="zh-CN"/>
              </w:rPr>
              <w:t>成都市温江区青啤大道319号2栋4-5楼</w:t>
            </w:r>
          </w:p>
        </w:tc>
        <w:tc>
          <w:tcPr>
            <w:tcW w:w="869" w:type="dxa"/>
            <w:noWrap w:val="0"/>
            <w:vAlign w:val="center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highlight w:val="none"/>
                <w:lang w:val="en-US" w:eastAsia="zh-CN"/>
              </w:rPr>
              <w:t>刘建余</w:t>
            </w:r>
          </w:p>
        </w:tc>
        <w:tc>
          <w:tcPr>
            <w:tcW w:w="1132" w:type="dxa"/>
            <w:noWrap w:val="0"/>
            <w:vAlign w:val="center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highlight w:val="none"/>
                <w:lang w:val="en-US" w:eastAsia="zh-CN"/>
              </w:rPr>
              <w:t>麻醉药品、精神药品购用证明</w:t>
            </w:r>
          </w:p>
        </w:tc>
        <w:tc>
          <w:tcPr>
            <w:tcW w:w="968" w:type="dxa"/>
            <w:noWrap w:val="0"/>
            <w:vAlign w:val="center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highlight w:val="none"/>
                <w:lang w:val="en-US" w:eastAsia="zh-CN"/>
              </w:rPr>
              <w:t>川麻精购字第2024012</w:t>
            </w:r>
            <w:r>
              <w:rPr>
                <w:rFonts w:hint="default" w:asciiTheme="minorEastAsia" w:hAnsiTheme="minorEastAsia" w:cstheme="minorEastAsia"/>
                <w:sz w:val="18"/>
                <w:szCs w:val="18"/>
                <w:highlight w:val="none"/>
                <w:lang w:val="en" w:eastAsia="zh-CN"/>
              </w:rPr>
              <w:t>5</w:t>
            </w:r>
          </w:p>
        </w:tc>
        <w:tc>
          <w:tcPr>
            <w:tcW w:w="363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Theme="minorEastAsia" w:hAnsiTheme="minorEastAsia" w:eastAsiaTheme="minorEastAsia" w:cstheme="minorEastAsia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highlight w:val="none"/>
                <w:lang w:val="en-US" w:eastAsia="zh-CN"/>
              </w:rPr>
              <w:t>盐酸曲马多注射液 2m1: 100mg 5支/盒(50支),盐酸曲马多片 50mg 10片/盒(100片)供应单位：国药集团药业股份有限公司</w:t>
            </w:r>
          </w:p>
        </w:tc>
        <w:tc>
          <w:tcPr>
            <w:tcW w:w="675" w:type="dxa"/>
            <w:noWrap w:val="0"/>
            <w:vAlign w:val="center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highlight w:val="none"/>
                <w:lang w:val="en-US" w:eastAsia="zh-CN"/>
              </w:rPr>
              <w:t>2024-0</w:t>
            </w:r>
            <w:r>
              <w:rPr>
                <w:rFonts w:hint="default" w:asciiTheme="minorEastAsia" w:hAnsiTheme="minorEastAsia" w:cstheme="minorEastAsia"/>
                <w:sz w:val="18"/>
                <w:szCs w:val="18"/>
                <w:highlight w:val="none"/>
                <w:lang w:val="en" w:eastAsia="zh-CN"/>
              </w:rPr>
              <w:t>4</w:t>
            </w: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highlight w:val="none"/>
                <w:lang w:val="en-US" w:eastAsia="zh-CN"/>
              </w:rPr>
              <w:t>-</w:t>
            </w:r>
            <w:r>
              <w:rPr>
                <w:rFonts w:hint="default" w:asciiTheme="minorEastAsia" w:hAnsiTheme="minorEastAsia" w:cstheme="minorEastAsia"/>
                <w:sz w:val="18"/>
                <w:szCs w:val="18"/>
                <w:highlight w:val="none"/>
                <w:lang w:val="en" w:eastAsia="zh-CN"/>
              </w:rPr>
              <w:t>28</w:t>
            </w:r>
          </w:p>
        </w:tc>
        <w:tc>
          <w:tcPr>
            <w:tcW w:w="735" w:type="dxa"/>
            <w:noWrap w:val="0"/>
            <w:vAlign w:val="center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highlight w:val="none"/>
                <w:lang w:val="en-US" w:eastAsia="zh-CN"/>
              </w:rPr>
              <w:t>四川省药品监督管理局</w:t>
            </w:r>
          </w:p>
        </w:tc>
        <w:tc>
          <w:tcPr>
            <w:tcW w:w="885" w:type="dxa"/>
            <w:noWrap w:val="0"/>
            <w:vAlign w:val="center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Theme="minorEastAsia" w:hAnsiTheme="minorEastAsia" w:cstheme="minorEastAsia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18"/>
                <w:szCs w:val="18"/>
                <w:highlight w:val="none"/>
                <w:lang w:val="en-US" w:eastAsia="zh-CN"/>
              </w:rPr>
              <w:t>成都</w:t>
            </w: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highlight w:val="none"/>
                <w:lang w:val="en-US" w:eastAsia="zh-CN"/>
              </w:rPr>
              <w:t>市</w:t>
            </w: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vertAlign w:val="baseline"/>
                <w:lang w:val="en-US" w:eastAsia="zh-CN"/>
              </w:rPr>
              <w:t>市场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lang w:val="en-US" w:eastAsia="zh-CN" w:bidi="ar"/>
              </w:rPr>
              <w:t>监督管理局</w:t>
            </w:r>
          </w:p>
        </w:tc>
      </w:tr>
    </w:tbl>
    <w:p>
      <w:pPr>
        <w:tabs>
          <w:tab w:val="left" w:pos="12353"/>
        </w:tabs>
        <w:bidi w:val="0"/>
        <w:jc w:val="left"/>
        <w:rPr>
          <w:rFonts w:hint="eastAsia"/>
          <w:lang w:val="en-US" w:eastAsia="zh-CN"/>
        </w:rPr>
      </w:pPr>
    </w:p>
    <w:p>
      <w:bookmarkStart w:id="0" w:name="_GoBack"/>
      <w:bookmarkEnd w:id="0"/>
    </w:p>
    <w:sectPr>
      <w:pgSz w:w="16838" w:h="11906" w:orient="landscape"/>
      <w:pgMar w:top="952" w:right="986" w:bottom="952" w:left="986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altName w:val="黑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华文仿宋">
    <w:altName w:val="仿宋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3031C87"/>
    <w:rsid w:val="1BD223BE"/>
    <w:rsid w:val="23031C87"/>
    <w:rsid w:val="289361DD"/>
    <w:rsid w:val="6EFB7F1C"/>
    <w:rsid w:val="759D35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Office_11.8.6.9023_F1E327BC-269C-435d-A152-05C5408002CA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2024-04-01T05:38:00Z</dcterms:created>
  <dc:creator>李珊珊</dc:creator>
  <cp:lastModifiedBy>李珊珊</cp:lastModifiedBy>
  <dcterms:modified xsi:type="dcterms:W3CDTF">2024-05-06T01:40:40Z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2052-11.8.6.9023</vt:lpwstr>
  </property>
</Properties>
</file>