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F" w:rsidRPr="006F2C59" w:rsidRDefault="00876B8F" w:rsidP="00876B8F">
      <w:pPr>
        <w:spacing w:line="580" w:lineRule="exact"/>
        <w:jc w:val="center"/>
        <w:rPr>
          <w:rFonts w:ascii="仿宋" w:eastAsia="仿宋" w:hAnsi="仿宋"/>
          <w:b/>
          <w:sz w:val="32"/>
          <w:szCs w:val="36"/>
        </w:rPr>
      </w:pPr>
      <w:r w:rsidRPr="006F2C59">
        <w:rPr>
          <w:rFonts w:ascii="仿宋" w:eastAsia="仿宋" w:hAnsi="仿宋" w:hint="eastAsia"/>
          <w:b/>
          <w:sz w:val="32"/>
          <w:szCs w:val="36"/>
        </w:rPr>
        <w:t>呋喃唑酮片说明书修订详情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3817"/>
        <w:gridCol w:w="4506"/>
      </w:tblGrid>
      <w:tr w:rsidR="00876B8F" w:rsidRPr="0005567B" w:rsidTr="00887B83">
        <w:trPr>
          <w:trHeight w:val="409"/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修订项目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修订前说明书内容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修订后说明书内容</w:t>
            </w:r>
          </w:p>
        </w:tc>
      </w:tr>
      <w:tr w:rsidR="00876B8F" w:rsidRPr="0005567B" w:rsidTr="00887B83">
        <w:trPr>
          <w:trHeight w:val="1691"/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【警示语】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Cs/>
                <w:sz w:val="22"/>
              </w:rPr>
              <w:t>无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Cs/>
                <w:sz w:val="22"/>
              </w:rPr>
              <w:t>葡萄糖</w:t>
            </w:r>
            <w:r w:rsidRPr="0005567B">
              <w:rPr>
                <w:rFonts w:ascii="仿宋" w:eastAsia="仿宋" w:hAnsi="仿宋"/>
                <w:bCs/>
                <w:sz w:val="22"/>
              </w:rPr>
              <w:t>-6-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磷酸脱氢酶缺乏性患者使用本品容易发生溶血性贫血，禁用于该人群。随着用药时间延长和用药剂量的增加，容易发生不可逆的神经炎；呋喃唑酮可发生严重的皮肤反应，如血清病样荨麻疹等。</w:t>
            </w:r>
          </w:p>
        </w:tc>
      </w:tr>
      <w:tr w:rsidR="00876B8F" w:rsidRPr="0005567B" w:rsidTr="00887B83">
        <w:trPr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【适应症】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sz w:val="22"/>
              </w:rPr>
            </w:pPr>
            <w:r w:rsidRPr="0005567B">
              <w:rPr>
                <w:rFonts w:ascii="仿宋" w:eastAsia="仿宋" w:hAnsi="仿宋" w:hint="eastAsia"/>
                <w:bCs/>
                <w:sz w:val="22"/>
              </w:rPr>
              <w:t>主要用于敏感菌所致的细菌性痢疾，肠炎、霍乱，也可以用于伤寒、副伤寒、贾第鞭毛虫病、滴虫病等。与制酸剂等药物合用于治疗幽门螺杆菌所致的胃窦炎。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Cs/>
                <w:sz w:val="22"/>
              </w:rPr>
              <w:t>本品仅用于难以根除的幽门螺旋杆菌感染。</w:t>
            </w:r>
          </w:p>
        </w:tc>
      </w:tr>
      <w:tr w:rsidR="00876B8F" w:rsidRPr="0005567B" w:rsidTr="00887B83">
        <w:trPr>
          <w:trHeight w:val="743"/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【禁忌】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rPr>
                <w:rFonts w:ascii="仿宋" w:eastAsia="仿宋" w:hAnsi="仿宋"/>
                <w:sz w:val="22"/>
              </w:rPr>
            </w:pPr>
            <w:r w:rsidRPr="0005567B">
              <w:rPr>
                <w:rFonts w:ascii="仿宋" w:eastAsia="仿宋" w:hAnsi="仿宋" w:cs="宋体" w:hint="eastAsia"/>
                <w:kern w:val="0"/>
                <w:sz w:val="22"/>
              </w:rPr>
              <w:t>对本品过敏者禁用。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 w:cs="宋体" w:hint="eastAsia"/>
                <w:kern w:val="0"/>
                <w:sz w:val="22"/>
              </w:rPr>
              <w:t>对本品过敏者禁用。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葡萄糖</w:t>
            </w:r>
            <w:r w:rsidRPr="0005567B">
              <w:rPr>
                <w:rFonts w:ascii="仿宋" w:eastAsia="仿宋" w:hAnsi="仿宋"/>
                <w:bCs/>
                <w:sz w:val="22"/>
              </w:rPr>
              <w:t>-6-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磷酸脱氢酶（</w:t>
            </w:r>
            <w:r w:rsidRPr="0005567B">
              <w:rPr>
                <w:rFonts w:ascii="仿宋" w:eastAsia="仿宋" w:hAnsi="仿宋"/>
                <w:bCs/>
                <w:sz w:val="22"/>
              </w:rPr>
              <w:t>G-6PD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）缺乏者禁用。</w:t>
            </w:r>
          </w:p>
        </w:tc>
      </w:tr>
      <w:tr w:rsidR="00876B8F" w:rsidRPr="0005567B" w:rsidTr="00887B83">
        <w:trPr>
          <w:trHeight w:val="414"/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【儿童用药】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 w:cs="宋体"/>
                <w:kern w:val="0"/>
                <w:sz w:val="22"/>
              </w:rPr>
            </w:pPr>
            <w:r w:rsidRPr="0005567B">
              <w:rPr>
                <w:rFonts w:ascii="仿宋" w:eastAsia="仿宋" w:hAnsi="仿宋" w:cs="宋体" w:hint="eastAsia"/>
                <w:kern w:val="0"/>
                <w:sz w:val="22"/>
              </w:rPr>
              <w:t>新生儿禁用。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 w:cs="宋体"/>
                <w:kern w:val="0"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14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岁以下儿童禁用。</w:t>
            </w:r>
            <w:r w:rsidRPr="0005567B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</w:tr>
      <w:tr w:rsidR="00876B8F" w:rsidRPr="0005567B" w:rsidTr="00887B83">
        <w:trPr>
          <w:trHeight w:val="3807"/>
          <w:jc w:val="center"/>
        </w:trPr>
        <w:tc>
          <w:tcPr>
            <w:tcW w:w="772" w:type="pct"/>
            <w:vAlign w:val="center"/>
          </w:tcPr>
          <w:p w:rsidR="00876B8F" w:rsidRPr="0005567B" w:rsidRDefault="00876B8F" w:rsidP="00887B83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05567B">
              <w:rPr>
                <w:rFonts w:ascii="仿宋" w:eastAsia="仿宋" w:hAnsi="仿宋" w:hint="eastAsia"/>
                <w:b/>
                <w:bCs/>
                <w:sz w:val="22"/>
              </w:rPr>
              <w:t>【注意事项】</w:t>
            </w:r>
          </w:p>
        </w:tc>
        <w:tc>
          <w:tcPr>
            <w:tcW w:w="193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1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．一般不宜用于溃疡病或支气管哮喘患者。</w:t>
            </w:r>
          </w:p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2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．口服本品期间饮酒，则可引起双硫仑样反应，表现为皮肤潮红、瘙痒、发热、头痛、恶心、腹痛、心动过速、血压升高、胸闷烦躁等，故服药期间和停药后</w:t>
            </w:r>
            <w:r w:rsidRPr="0005567B">
              <w:rPr>
                <w:rFonts w:ascii="仿宋" w:eastAsia="仿宋" w:hAnsi="仿宋"/>
                <w:bCs/>
                <w:sz w:val="22"/>
              </w:rPr>
              <w:t>5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天内，禁止饮酒。</w:t>
            </w:r>
          </w:p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 w:cs="宋体"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3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．葡葡糖</w:t>
            </w:r>
            <w:r w:rsidRPr="0005567B">
              <w:rPr>
                <w:rFonts w:ascii="仿宋" w:eastAsia="仿宋" w:hAnsi="仿宋"/>
                <w:bCs/>
                <w:sz w:val="22"/>
              </w:rPr>
              <w:t>-6-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磷酸脱氢酶（</w:t>
            </w:r>
            <w:r w:rsidRPr="0005567B">
              <w:rPr>
                <w:rFonts w:ascii="仿宋" w:eastAsia="仿宋" w:hAnsi="仿宋"/>
                <w:bCs/>
                <w:sz w:val="22"/>
              </w:rPr>
              <w:t>G-6PD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）缺乏者可致溶血性贫血。</w:t>
            </w:r>
          </w:p>
        </w:tc>
        <w:tc>
          <w:tcPr>
            <w:tcW w:w="2289" w:type="pct"/>
            <w:vAlign w:val="center"/>
          </w:tcPr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1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．一般不宜用于溃疡病或支气管哮喘患者。</w:t>
            </w:r>
          </w:p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2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．口服本品期间饮酒，则可引起双硫仑样反应，表现为皮肤潮红、瘙痒、发热、头痛、恶心、腹痛、心动过速、血压升高、胸闷烦躁等，故服药期间和停药后</w:t>
            </w:r>
            <w:r w:rsidRPr="0005567B">
              <w:rPr>
                <w:rFonts w:ascii="仿宋" w:eastAsia="仿宋" w:hAnsi="仿宋"/>
                <w:bCs/>
                <w:sz w:val="22"/>
              </w:rPr>
              <w:t>5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天内，禁止饮酒。</w:t>
            </w:r>
          </w:p>
          <w:p w:rsidR="00876B8F" w:rsidRPr="0005567B" w:rsidRDefault="00876B8F" w:rsidP="00887B83">
            <w:pPr>
              <w:spacing w:line="300" w:lineRule="exact"/>
              <w:jc w:val="lef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3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．葡葡糖</w:t>
            </w:r>
            <w:r w:rsidRPr="0005567B">
              <w:rPr>
                <w:rFonts w:ascii="仿宋" w:eastAsia="仿宋" w:hAnsi="仿宋"/>
                <w:bCs/>
                <w:sz w:val="22"/>
              </w:rPr>
              <w:t>-6-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磷酸脱氢酶（</w:t>
            </w:r>
            <w:r w:rsidRPr="0005567B">
              <w:rPr>
                <w:rFonts w:ascii="仿宋" w:eastAsia="仿宋" w:hAnsi="仿宋"/>
                <w:bCs/>
                <w:sz w:val="22"/>
              </w:rPr>
              <w:t>G-6PD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）缺乏者可致溶血性贫血。</w:t>
            </w:r>
          </w:p>
          <w:p w:rsidR="00876B8F" w:rsidRPr="0005567B" w:rsidRDefault="00876B8F" w:rsidP="00887B83">
            <w:pPr>
              <w:spacing w:line="300" w:lineRule="exact"/>
              <w:rPr>
                <w:rFonts w:ascii="仿宋" w:eastAsia="仿宋" w:hAnsi="仿宋"/>
                <w:bCs/>
                <w:sz w:val="22"/>
              </w:rPr>
            </w:pPr>
            <w:r w:rsidRPr="0005567B">
              <w:rPr>
                <w:rFonts w:ascii="仿宋" w:eastAsia="仿宋" w:hAnsi="仿宋"/>
                <w:bCs/>
                <w:sz w:val="22"/>
              </w:rPr>
              <w:t>4.</w:t>
            </w:r>
            <w:r w:rsidRPr="0005567B">
              <w:rPr>
                <w:rFonts w:ascii="仿宋" w:eastAsia="仿宋" w:hAnsi="仿宋" w:hint="eastAsia"/>
                <w:bCs/>
                <w:sz w:val="22"/>
              </w:rPr>
              <w:t>动物实验显示呋喃唑酮对动物有致癌风险，但临床至今未有对人类致癌的病例报道，建议使用时权衡利弊。</w:t>
            </w:r>
          </w:p>
        </w:tc>
      </w:tr>
    </w:tbl>
    <w:p w:rsidR="003C1F1B" w:rsidRPr="00876B8F" w:rsidRDefault="003C1F1B" w:rsidP="00876B8F">
      <w:bookmarkStart w:id="0" w:name="_GoBack"/>
      <w:bookmarkEnd w:id="0"/>
    </w:p>
    <w:sectPr w:rsidR="003C1F1B" w:rsidRPr="00876B8F" w:rsidSect="0099630F">
      <w:footerReference w:type="default" r:id="rId7"/>
      <w:pgSz w:w="11906" w:h="16838"/>
      <w:pgMar w:top="1417" w:right="1134" w:bottom="1134" w:left="1134" w:header="851" w:footer="992" w:gutter="0"/>
      <w:pgNumType w:fmt="chineseCounting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14" w:rsidRDefault="00FE5B14" w:rsidP="0099630F">
      <w:r>
        <w:separator/>
      </w:r>
    </w:p>
  </w:endnote>
  <w:endnote w:type="continuationSeparator" w:id="0">
    <w:p w:rsidR="00FE5B14" w:rsidRDefault="00FE5B14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1B" w:rsidRDefault="00FE5B1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19.2pt;margin-top:0;width:2in;height:2in;z-index:1;mso-wrap-style:none;mso-position-horizontal:right;mso-position-horizontal-relative:margin" filled="f" stroked="f">
          <v:textbox style="mso-fit-shape-to-text:t" inset="0,0,0,0">
            <w:txbxContent>
              <w:p w:rsidR="003C1F1B" w:rsidRDefault="00FE5B1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76B8F" w:rsidRPr="00876B8F">
                  <w:rPr>
                    <w:rFonts w:ascii="Gulim" w:eastAsia="Gulim" w:hAnsi="Gulim" w:cs="Gulim" w:hint="eastAsia"/>
                    <w:noProof/>
                  </w:rPr>
                  <w:t>一</w:t>
                </w:r>
                <w:r>
                  <w:rPr>
                    <w:rFonts w:ascii="Gulim" w:eastAsia="Gulim" w:hAnsi="Gulim" w:cs="Gulim"/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14" w:rsidRDefault="00FE5B14" w:rsidP="0099630F">
      <w:r>
        <w:separator/>
      </w:r>
    </w:p>
  </w:footnote>
  <w:footnote w:type="continuationSeparator" w:id="0">
    <w:p w:rsidR="00FE5B14" w:rsidRDefault="00FE5B14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BC"/>
    <w:rsid w:val="00016212"/>
    <w:rsid w:val="00024E5E"/>
    <w:rsid w:val="000271F7"/>
    <w:rsid w:val="000444F0"/>
    <w:rsid w:val="00083ACA"/>
    <w:rsid w:val="00093142"/>
    <w:rsid w:val="000C5B16"/>
    <w:rsid w:val="000F3843"/>
    <w:rsid w:val="001376F0"/>
    <w:rsid w:val="001519E5"/>
    <w:rsid w:val="00175C57"/>
    <w:rsid w:val="0019404F"/>
    <w:rsid w:val="001972DC"/>
    <w:rsid w:val="001C1FF8"/>
    <w:rsid w:val="001D4554"/>
    <w:rsid w:val="001F7EEF"/>
    <w:rsid w:val="002133DB"/>
    <w:rsid w:val="002278B4"/>
    <w:rsid w:val="00237E7D"/>
    <w:rsid w:val="00265869"/>
    <w:rsid w:val="0028353A"/>
    <w:rsid w:val="00284B0F"/>
    <w:rsid w:val="002A3995"/>
    <w:rsid w:val="002C6546"/>
    <w:rsid w:val="003525AF"/>
    <w:rsid w:val="00352CF0"/>
    <w:rsid w:val="00391599"/>
    <w:rsid w:val="003A3C15"/>
    <w:rsid w:val="003B4346"/>
    <w:rsid w:val="003C1F1B"/>
    <w:rsid w:val="00437A5D"/>
    <w:rsid w:val="00467FD9"/>
    <w:rsid w:val="00496578"/>
    <w:rsid w:val="004A4DE1"/>
    <w:rsid w:val="004C5F9D"/>
    <w:rsid w:val="00502525"/>
    <w:rsid w:val="00561E0C"/>
    <w:rsid w:val="0057431F"/>
    <w:rsid w:val="00580623"/>
    <w:rsid w:val="005B2943"/>
    <w:rsid w:val="005D3886"/>
    <w:rsid w:val="005E5F3E"/>
    <w:rsid w:val="005F3455"/>
    <w:rsid w:val="0062341A"/>
    <w:rsid w:val="006A4EBC"/>
    <w:rsid w:val="006A519D"/>
    <w:rsid w:val="006E1B35"/>
    <w:rsid w:val="006F2266"/>
    <w:rsid w:val="007067F5"/>
    <w:rsid w:val="007150A5"/>
    <w:rsid w:val="00716C74"/>
    <w:rsid w:val="0072441C"/>
    <w:rsid w:val="007333DA"/>
    <w:rsid w:val="0074167F"/>
    <w:rsid w:val="00746A2E"/>
    <w:rsid w:val="00760EAF"/>
    <w:rsid w:val="00764DA7"/>
    <w:rsid w:val="00765C1F"/>
    <w:rsid w:val="007A4A1A"/>
    <w:rsid w:val="007A5FA4"/>
    <w:rsid w:val="007D6090"/>
    <w:rsid w:val="007E59FB"/>
    <w:rsid w:val="008039D9"/>
    <w:rsid w:val="00804BD3"/>
    <w:rsid w:val="00876B8F"/>
    <w:rsid w:val="008774A3"/>
    <w:rsid w:val="008F2FFC"/>
    <w:rsid w:val="00913C24"/>
    <w:rsid w:val="00920EA1"/>
    <w:rsid w:val="00932BAB"/>
    <w:rsid w:val="0093723C"/>
    <w:rsid w:val="00947B64"/>
    <w:rsid w:val="009706AE"/>
    <w:rsid w:val="009746EA"/>
    <w:rsid w:val="00981190"/>
    <w:rsid w:val="00984EE5"/>
    <w:rsid w:val="0099630F"/>
    <w:rsid w:val="00996AC6"/>
    <w:rsid w:val="009C2E8C"/>
    <w:rsid w:val="009D509B"/>
    <w:rsid w:val="009D6E74"/>
    <w:rsid w:val="00A0013F"/>
    <w:rsid w:val="00A14988"/>
    <w:rsid w:val="00AA17D7"/>
    <w:rsid w:val="00AB1021"/>
    <w:rsid w:val="00AD1D17"/>
    <w:rsid w:val="00AD6365"/>
    <w:rsid w:val="00AE2D08"/>
    <w:rsid w:val="00B02F15"/>
    <w:rsid w:val="00B130CE"/>
    <w:rsid w:val="00B202B3"/>
    <w:rsid w:val="00B55713"/>
    <w:rsid w:val="00B873BE"/>
    <w:rsid w:val="00B915A3"/>
    <w:rsid w:val="00BA5C11"/>
    <w:rsid w:val="00BC17CF"/>
    <w:rsid w:val="00BC1B7C"/>
    <w:rsid w:val="00BC417E"/>
    <w:rsid w:val="00BC66DB"/>
    <w:rsid w:val="00C57D0D"/>
    <w:rsid w:val="00C75092"/>
    <w:rsid w:val="00C82CD2"/>
    <w:rsid w:val="00C8347B"/>
    <w:rsid w:val="00C83718"/>
    <w:rsid w:val="00C90504"/>
    <w:rsid w:val="00C90960"/>
    <w:rsid w:val="00CB0A00"/>
    <w:rsid w:val="00D22E03"/>
    <w:rsid w:val="00D53C19"/>
    <w:rsid w:val="00D6077C"/>
    <w:rsid w:val="00D87865"/>
    <w:rsid w:val="00DA3641"/>
    <w:rsid w:val="00E121B3"/>
    <w:rsid w:val="00E15D28"/>
    <w:rsid w:val="00E51513"/>
    <w:rsid w:val="00E66C3D"/>
    <w:rsid w:val="00E710A7"/>
    <w:rsid w:val="00E9480A"/>
    <w:rsid w:val="00EA3C78"/>
    <w:rsid w:val="00ED6582"/>
    <w:rsid w:val="00EE6FC6"/>
    <w:rsid w:val="00F27439"/>
    <w:rsid w:val="00F32ABF"/>
    <w:rsid w:val="00F41092"/>
    <w:rsid w:val="00F42392"/>
    <w:rsid w:val="00F428D2"/>
    <w:rsid w:val="00F56AFF"/>
    <w:rsid w:val="00F742E5"/>
    <w:rsid w:val="00F83D10"/>
    <w:rsid w:val="00FC680D"/>
    <w:rsid w:val="00FD373C"/>
    <w:rsid w:val="00FE5B14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70242B24-B911-4046-9AC9-849F004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9630F"/>
    <w:rPr>
      <w:rFonts w:cs="Times New Roman"/>
      <w:b/>
      <w:bCs/>
      <w:kern w:val="44"/>
      <w:sz w:val="44"/>
      <w:szCs w:val="44"/>
    </w:rPr>
  </w:style>
  <w:style w:type="paragraph" w:styleId="3">
    <w:name w:val="toc 3"/>
    <w:basedOn w:val="a"/>
    <w:next w:val="a"/>
    <w:uiPriority w:val="99"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rsid w:val="0099630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963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9630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99630F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99"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99"/>
    <w:rsid w:val="00996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99"/>
    <w:rsid w:val="0099630F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rsid w:val="009963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99"/>
    <w:rsid w:val="009963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764DA7"/>
    <w:pPr>
      <w:tabs>
        <w:tab w:val="left" w:pos="360"/>
      </w:tabs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rry</dc:creator>
  <cp:keywords/>
  <dc:description/>
  <cp:lastModifiedBy>lenovo</cp:lastModifiedBy>
  <cp:revision>44</cp:revision>
  <cp:lastPrinted>2020-03-12T08:07:00Z</cp:lastPrinted>
  <dcterms:created xsi:type="dcterms:W3CDTF">2017-04-17T05:38:00Z</dcterms:created>
  <dcterms:modified xsi:type="dcterms:W3CDTF">2020-06-19T11:17:00Z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