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2F" w:rsidRPr="00F71C3B" w:rsidRDefault="00DA0C61" w:rsidP="002C122F">
      <w:pPr>
        <w:spacing w:line="360" w:lineRule="auto"/>
        <w:jc w:val="center"/>
        <w:rPr>
          <w:rFonts w:ascii="仿宋" w:eastAsia="仿宋" w:hAnsi="仿宋" w:cs="Times New Roman"/>
          <w:b/>
          <w:sz w:val="32"/>
        </w:rPr>
      </w:pPr>
      <w:r w:rsidRPr="00F71C3B">
        <w:rPr>
          <w:rFonts w:ascii="仿宋" w:eastAsia="仿宋" w:hAnsi="仿宋" w:cs="Times New Roman" w:hint="eastAsia"/>
          <w:b/>
          <w:sz w:val="32"/>
        </w:rPr>
        <w:t>安乃近片</w:t>
      </w:r>
      <w:r w:rsidR="002C122F" w:rsidRPr="00F71C3B">
        <w:rPr>
          <w:rFonts w:ascii="仿宋" w:eastAsia="仿宋" w:hAnsi="仿宋" w:cs="Times New Roman" w:hint="eastAsia"/>
          <w:b/>
          <w:sz w:val="32"/>
        </w:rPr>
        <w:t>说明书修订</w:t>
      </w:r>
      <w:r w:rsidR="00690171" w:rsidRPr="00F71C3B">
        <w:rPr>
          <w:rFonts w:ascii="仿宋" w:eastAsia="仿宋" w:hAnsi="仿宋" w:cs="Times New Roman" w:hint="eastAsia"/>
          <w:b/>
          <w:sz w:val="32"/>
        </w:rPr>
        <w:t>详情</w:t>
      </w: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5386"/>
        <w:gridCol w:w="7371"/>
      </w:tblGrid>
      <w:tr w:rsidR="002C122F" w:rsidRPr="00EB0E8D" w:rsidTr="00445F0B">
        <w:trPr>
          <w:trHeight w:val="495"/>
          <w:jc w:val="center"/>
        </w:trPr>
        <w:tc>
          <w:tcPr>
            <w:tcW w:w="2122" w:type="dxa"/>
            <w:vAlign w:val="center"/>
          </w:tcPr>
          <w:p w:rsidR="002C122F" w:rsidRPr="00EB0E8D" w:rsidRDefault="002C122F" w:rsidP="00930579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B0E8D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5386" w:type="dxa"/>
            <w:vAlign w:val="center"/>
          </w:tcPr>
          <w:p w:rsidR="002C122F" w:rsidRPr="00EB0E8D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B0E8D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7371" w:type="dxa"/>
            <w:vAlign w:val="center"/>
          </w:tcPr>
          <w:p w:rsidR="002C122F" w:rsidRPr="00EB0E8D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B0E8D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FB13C5" w:rsidRPr="00EB0E8D" w:rsidTr="00445F0B">
        <w:trPr>
          <w:jc w:val="center"/>
        </w:trPr>
        <w:tc>
          <w:tcPr>
            <w:tcW w:w="2122" w:type="dxa"/>
            <w:vAlign w:val="center"/>
          </w:tcPr>
          <w:p w:rsidR="00FB13C5" w:rsidRPr="00EB0E8D" w:rsidRDefault="00FB13C5" w:rsidP="00930579">
            <w:pPr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【警示语】</w:t>
            </w:r>
          </w:p>
        </w:tc>
        <w:tc>
          <w:tcPr>
            <w:tcW w:w="5386" w:type="dxa"/>
            <w:vAlign w:val="center"/>
          </w:tcPr>
          <w:p w:rsidR="00FB13C5" w:rsidRPr="00EB0E8D" w:rsidRDefault="00FB13C5" w:rsidP="00897197">
            <w:pPr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7371" w:type="dxa"/>
            <w:vAlign w:val="center"/>
          </w:tcPr>
          <w:p w:rsidR="007A5067" w:rsidRPr="00335E9C" w:rsidRDefault="00FB13C5" w:rsidP="007A5067">
            <w:pPr>
              <w:rPr>
                <w:rFonts w:ascii="仿宋" w:eastAsia="仿宋" w:hAnsi="仿宋"/>
                <w:b/>
              </w:rPr>
            </w:pPr>
            <w:r w:rsidRPr="00EB0E8D">
              <w:rPr>
                <w:rFonts w:ascii="仿宋" w:eastAsia="仿宋" w:hAnsi="仿宋" w:hint="eastAsia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  <w:bookmarkStart w:id="0" w:name="_GoBack"/>
            <w:r w:rsidR="007A5067" w:rsidRPr="00335E9C">
              <w:rPr>
                <w:rFonts w:ascii="仿宋" w:eastAsia="仿宋" w:hAnsi="仿宋" w:hint="eastAsia"/>
                <w:b/>
              </w:rPr>
              <w:t>本品一般不作为首选用药，仅在病情急重，且无其他有效药品治疗的情况下使用。</w:t>
            </w:r>
          </w:p>
          <w:p w:rsidR="00FB13C5" w:rsidRPr="00EB0E8D" w:rsidRDefault="007A5067" w:rsidP="007A5067">
            <w:pPr>
              <w:rPr>
                <w:rFonts w:ascii="仿宋" w:eastAsia="仿宋" w:hAnsi="仿宋"/>
              </w:rPr>
            </w:pPr>
            <w:r w:rsidRPr="00335E9C">
              <w:rPr>
                <w:rFonts w:ascii="仿宋" w:eastAsia="仿宋" w:hAnsi="仿宋" w:hint="eastAsia"/>
                <w:b/>
              </w:rPr>
              <w:t>本品禁用于18岁以下青少年儿童。</w:t>
            </w:r>
            <w:bookmarkEnd w:id="0"/>
          </w:p>
        </w:tc>
      </w:tr>
      <w:tr w:rsidR="00FB13C5" w:rsidRPr="00EB0E8D" w:rsidTr="00445F0B">
        <w:trPr>
          <w:jc w:val="center"/>
        </w:trPr>
        <w:tc>
          <w:tcPr>
            <w:tcW w:w="2122" w:type="dxa"/>
            <w:vAlign w:val="center"/>
          </w:tcPr>
          <w:p w:rsidR="00FB13C5" w:rsidRPr="00EB0E8D" w:rsidRDefault="00FB13C5" w:rsidP="00930579">
            <w:pPr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【适应症】</w:t>
            </w:r>
          </w:p>
        </w:tc>
        <w:tc>
          <w:tcPr>
            <w:tcW w:w="5386" w:type="dxa"/>
            <w:vAlign w:val="center"/>
          </w:tcPr>
          <w:p w:rsidR="00FB13C5" w:rsidRPr="00EB0E8D" w:rsidRDefault="00FB13C5" w:rsidP="00FB13C5">
            <w:pPr>
              <w:jc w:val="left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7371" w:type="dxa"/>
            <w:vAlign w:val="center"/>
          </w:tcPr>
          <w:p w:rsidR="00FB13C5" w:rsidRPr="00EB0E8D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用于急性高热时的退热，也可用于急性疼痛的短期治疗，如头痛、偏头痛、肌肉痛、关节痛、痛经等。</w:t>
            </w:r>
          </w:p>
        </w:tc>
      </w:tr>
      <w:tr w:rsidR="00FB13C5" w:rsidRPr="00EB0E8D" w:rsidTr="00445F0B">
        <w:trPr>
          <w:jc w:val="center"/>
        </w:trPr>
        <w:tc>
          <w:tcPr>
            <w:tcW w:w="2122" w:type="dxa"/>
            <w:vAlign w:val="center"/>
          </w:tcPr>
          <w:p w:rsidR="00FB13C5" w:rsidRPr="00EB0E8D" w:rsidRDefault="00FB13C5" w:rsidP="00930579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【用法用量】</w:t>
            </w:r>
          </w:p>
        </w:tc>
        <w:tc>
          <w:tcPr>
            <w:tcW w:w="5386" w:type="dxa"/>
            <w:vAlign w:val="center"/>
          </w:tcPr>
          <w:p w:rsidR="00FB13C5" w:rsidRPr="00EB0E8D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口服。成人常用量：一次0</w:t>
            </w:r>
            <w:r w:rsidRPr="00EB0E8D">
              <w:rPr>
                <w:rFonts w:ascii="仿宋" w:eastAsia="仿宋" w:hAnsi="仿宋"/>
              </w:rPr>
              <w:t>.5</w:t>
            </w:r>
            <w:r w:rsidRPr="00EB0E8D">
              <w:rPr>
                <w:rFonts w:ascii="仿宋" w:eastAsia="仿宋" w:hAnsi="仿宋" w:hint="eastAsia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0E8D">
                <w:rPr>
                  <w:rFonts w:ascii="仿宋" w:eastAsia="仿宋" w:hAnsi="仿宋"/>
                </w:rPr>
                <w:t>1g</w:t>
              </w:r>
            </w:smartTag>
            <w:r w:rsidRPr="00EB0E8D">
              <w:rPr>
                <w:rFonts w:ascii="仿宋" w:eastAsia="仿宋" w:hAnsi="仿宋" w:hint="eastAsia"/>
              </w:rPr>
              <w:t>，需要时服1次，最多一日3次。小儿：按体重一次10～20mg/</w:t>
            </w:r>
            <w:r w:rsidRPr="00EB0E8D">
              <w:rPr>
                <w:rFonts w:ascii="仿宋" w:eastAsia="仿宋" w:hAnsi="仿宋"/>
              </w:rPr>
              <w:t>kg</w:t>
            </w:r>
            <w:r w:rsidRPr="00EB0E8D">
              <w:rPr>
                <w:rFonts w:ascii="仿宋" w:eastAsia="仿宋" w:hAnsi="仿宋" w:hint="eastAsia"/>
              </w:rPr>
              <w:t>，一日2～3次。</w:t>
            </w:r>
          </w:p>
        </w:tc>
        <w:tc>
          <w:tcPr>
            <w:tcW w:w="7371" w:type="dxa"/>
            <w:vAlign w:val="center"/>
          </w:tcPr>
          <w:p w:rsidR="00FB13C5" w:rsidRPr="00EB0E8D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口服。成人常用量：一次0</w:t>
            </w:r>
            <w:r w:rsidRPr="00EB0E8D">
              <w:rPr>
                <w:rFonts w:ascii="仿宋" w:eastAsia="仿宋" w:hAnsi="仿宋"/>
              </w:rPr>
              <w:t>.5</w:t>
            </w:r>
            <w:r w:rsidRPr="00EB0E8D">
              <w:rPr>
                <w:rFonts w:ascii="仿宋" w:eastAsia="仿宋" w:hAnsi="仿宋" w:hint="eastAsia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0E8D">
                <w:rPr>
                  <w:rFonts w:ascii="仿宋" w:eastAsia="仿宋" w:hAnsi="仿宋"/>
                </w:rPr>
                <w:t>1g</w:t>
              </w:r>
            </w:smartTag>
            <w:r w:rsidRPr="00EB0E8D">
              <w:rPr>
                <w:rFonts w:ascii="仿宋" w:eastAsia="仿宋" w:hAnsi="仿宋" w:hint="eastAsia"/>
              </w:rPr>
              <w:t>，需要时服1次，最多一日3次，</w:t>
            </w:r>
            <w:r w:rsidRPr="00EB0E8D">
              <w:rPr>
                <w:rFonts w:ascii="仿宋" w:eastAsia="仿宋" w:hAnsi="仿宋"/>
              </w:rPr>
              <w:t>应从最低有效剂量开始使用</w:t>
            </w:r>
            <w:r w:rsidRPr="00EB0E8D">
              <w:rPr>
                <w:rFonts w:ascii="仿宋" w:eastAsia="仿宋" w:hAnsi="仿宋" w:hint="eastAsia"/>
              </w:rPr>
              <w:t>。</w:t>
            </w:r>
          </w:p>
        </w:tc>
      </w:tr>
      <w:tr w:rsidR="00D70259" w:rsidRPr="00EB0E8D" w:rsidTr="001A5286">
        <w:trPr>
          <w:trHeight w:val="1411"/>
          <w:jc w:val="center"/>
        </w:trPr>
        <w:tc>
          <w:tcPr>
            <w:tcW w:w="2122" w:type="dxa"/>
            <w:vAlign w:val="center"/>
          </w:tcPr>
          <w:p w:rsidR="00D70259" w:rsidRPr="00EB0E8D" w:rsidRDefault="00D70259" w:rsidP="009305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B0E8D">
              <w:rPr>
                <w:rFonts w:ascii="仿宋" w:eastAsia="仿宋" w:hAnsi="仿宋" w:hint="eastAsia"/>
              </w:rPr>
              <w:t>【不良反应】</w:t>
            </w:r>
          </w:p>
        </w:tc>
        <w:tc>
          <w:tcPr>
            <w:tcW w:w="5386" w:type="dxa"/>
            <w:vAlign w:val="center"/>
          </w:tcPr>
          <w:p w:rsidR="00D70259" w:rsidRPr="00EB0E8D" w:rsidRDefault="00D70259" w:rsidP="00D70259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  <w:p w:rsidR="00D70259" w:rsidRPr="00EB0E8D" w:rsidRDefault="00D70259" w:rsidP="00D70259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1" w:type="dxa"/>
            <w:vAlign w:val="center"/>
          </w:tcPr>
          <w:p w:rsidR="00D70259" w:rsidRPr="00EB0E8D" w:rsidRDefault="00D70259" w:rsidP="00DC7D72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D70259" w:rsidRPr="00EB0E8D" w:rsidRDefault="00D70259" w:rsidP="00DC7D72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  <w:p w:rsidR="00D70259" w:rsidRPr="00EB0E8D" w:rsidRDefault="00D70259" w:rsidP="00DC7D72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3.全身性损害：本品可引起眼睑、眶周、口唇、面部、生殖器等部位水肿，还可引起胸闷、憋气、呼吸困难、心悸、哮喘发作、急性喉水肿、血压下降，严重者出现过敏性休克，甚至导致死亡。</w:t>
            </w:r>
          </w:p>
          <w:p w:rsidR="00D70259" w:rsidRPr="00EB0E8D" w:rsidRDefault="00D70259" w:rsidP="00DC7D72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lastRenderedPageBreak/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死亡的报道。</w:t>
            </w:r>
          </w:p>
          <w:p w:rsidR="00D70259" w:rsidRPr="00EB0E8D" w:rsidRDefault="00D70259" w:rsidP="00DC7D72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5.泌尿系统损害：本品可引起血尿、肾功能异常，有急性肾功能衰竭的报道。</w:t>
            </w:r>
          </w:p>
          <w:p w:rsidR="00D70259" w:rsidRPr="00EB0E8D" w:rsidRDefault="00D70259" w:rsidP="00DC7D72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6.其他：可出现头晕、头痛、局部麻木等神经系统症状，有肝细胞损害、肝酶升高的报道，退热时可出现大汗和虚脱。</w:t>
            </w:r>
          </w:p>
        </w:tc>
      </w:tr>
      <w:tr w:rsidR="00DC7D72" w:rsidRPr="00EB0E8D" w:rsidTr="001A5286">
        <w:trPr>
          <w:trHeight w:val="978"/>
          <w:jc w:val="center"/>
        </w:trPr>
        <w:tc>
          <w:tcPr>
            <w:tcW w:w="2122" w:type="dxa"/>
            <w:vAlign w:val="center"/>
          </w:tcPr>
          <w:p w:rsidR="00DC7D72" w:rsidRPr="00EB0E8D" w:rsidRDefault="00DC7D72" w:rsidP="00930579">
            <w:pPr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lastRenderedPageBreak/>
              <w:t>【禁忌】</w:t>
            </w:r>
          </w:p>
        </w:tc>
        <w:tc>
          <w:tcPr>
            <w:tcW w:w="5386" w:type="dxa"/>
            <w:vAlign w:val="center"/>
          </w:tcPr>
          <w:p w:rsidR="00DC7D72" w:rsidRPr="00EB0E8D" w:rsidRDefault="00DC7D72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对本品或氨基比林有过敏史者禁用。</w:t>
            </w:r>
          </w:p>
        </w:tc>
        <w:tc>
          <w:tcPr>
            <w:tcW w:w="7371" w:type="dxa"/>
            <w:vAlign w:val="center"/>
          </w:tcPr>
          <w:p w:rsidR="00DC7D72" w:rsidRPr="00EB0E8D" w:rsidRDefault="00DC7D72" w:rsidP="00DC7D72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1.妊娠晚期妇女禁用。</w:t>
            </w:r>
          </w:p>
          <w:p w:rsidR="00DC7D72" w:rsidRPr="00EB0E8D" w:rsidRDefault="00DC7D72" w:rsidP="00DC7D72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2.18岁以下青少年儿童禁用。</w:t>
            </w:r>
          </w:p>
          <w:p w:rsidR="00DC7D72" w:rsidRPr="00EB0E8D" w:rsidRDefault="00DC7D72" w:rsidP="00DC7D72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3.对本品或氨基比林有过敏史者禁用。</w:t>
            </w:r>
          </w:p>
        </w:tc>
      </w:tr>
      <w:tr w:rsidR="002B3270" w:rsidRPr="00EB0E8D" w:rsidTr="001A5286">
        <w:trPr>
          <w:trHeight w:val="3246"/>
          <w:jc w:val="center"/>
        </w:trPr>
        <w:tc>
          <w:tcPr>
            <w:tcW w:w="2122" w:type="dxa"/>
            <w:vAlign w:val="center"/>
          </w:tcPr>
          <w:p w:rsidR="002B3270" w:rsidRPr="00EB0E8D" w:rsidRDefault="002B3270" w:rsidP="00930579">
            <w:pPr>
              <w:snapToGrid w:val="0"/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【注意事项】</w:t>
            </w:r>
          </w:p>
        </w:tc>
        <w:tc>
          <w:tcPr>
            <w:tcW w:w="5386" w:type="dxa"/>
            <w:vAlign w:val="center"/>
          </w:tcPr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（1）本品与阿司匹林有交叉过敏反应。</w:t>
            </w:r>
          </w:p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（2）本品一般不作首选用药，仅在急性高热、病情急重，又无其他有效解热药可用的情况下用于紧急退热。</w:t>
            </w:r>
          </w:p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（3）本品用药超过1周时应定期检查血象，一旦发生粒细胞减少，应立即停药。</w:t>
            </w:r>
          </w:p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7371" w:type="dxa"/>
            <w:vAlign w:val="center"/>
          </w:tcPr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1.本品一般不作为首选用药，仅在病情急重，且无其他有效药品治疗的情况下短期使用。</w:t>
            </w:r>
          </w:p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2.本品引起的皮肤损害多见，严重者需要住院治疗。使用本品如果出现皮疹、瘙痒等反应，应立即停药，严重者应立即就诊。</w:t>
            </w:r>
          </w:p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 xml:space="preserve">3.本品有引起过敏性休克风险。患者可出现胸闷、面部潮红、皮疹、呼吸困难、口唇发绀、大汗淋漓、血压降低、意识模糊、意识丧失等症状，甚至导致死亡。 </w:t>
            </w:r>
          </w:p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4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5.本品与阿司匹林有交叉过敏反应。</w:t>
            </w:r>
          </w:p>
          <w:p w:rsidR="002B3270" w:rsidRPr="00EB0E8D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6.本品用药超过1周时应定期检查血象，一旦发生粒细胞减少，应立即停药。</w:t>
            </w:r>
          </w:p>
        </w:tc>
      </w:tr>
      <w:tr w:rsidR="00CA4A5E" w:rsidRPr="00EB0E8D" w:rsidTr="00445F0B">
        <w:trPr>
          <w:trHeight w:val="567"/>
          <w:jc w:val="center"/>
        </w:trPr>
        <w:tc>
          <w:tcPr>
            <w:tcW w:w="2122" w:type="dxa"/>
            <w:vAlign w:val="center"/>
          </w:tcPr>
          <w:p w:rsidR="00CA4A5E" w:rsidRPr="00EB0E8D" w:rsidRDefault="00CA4A5E" w:rsidP="00930579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【孕妇及哺乳期妇女用药】</w:t>
            </w:r>
          </w:p>
        </w:tc>
        <w:tc>
          <w:tcPr>
            <w:tcW w:w="5386" w:type="dxa"/>
            <w:vAlign w:val="center"/>
          </w:tcPr>
          <w:p w:rsidR="00CA4A5E" w:rsidRPr="00EB0E8D" w:rsidRDefault="00CA4A5E" w:rsidP="00CA4A5E">
            <w:pPr>
              <w:snapToGrid w:val="0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安乃近的代谢产物可进入乳汁。孕妇及哺乳期妇女不宜应用。</w:t>
            </w:r>
          </w:p>
        </w:tc>
        <w:tc>
          <w:tcPr>
            <w:tcW w:w="7371" w:type="dxa"/>
            <w:vAlign w:val="center"/>
          </w:tcPr>
          <w:p w:rsidR="00CA4A5E" w:rsidRPr="00EB0E8D" w:rsidRDefault="00CA4A5E" w:rsidP="00CA4A5E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1.妊娠早期和中期妇女不建议使用，妊娠晚期妇女禁用。</w:t>
            </w:r>
          </w:p>
          <w:p w:rsidR="00CA4A5E" w:rsidRPr="00EB0E8D" w:rsidRDefault="00CA4A5E" w:rsidP="00CA4A5E">
            <w:pPr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2.安乃近的代谢产物可进入乳汁，哺乳期妇女不宜应用。</w:t>
            </w:r>
          </w:p>
        </w:tc>
      </w:tr>
      <w:tr w:rsidR="00CA4A5E" w:rsidRPr="00EB0E8D" w:rsidTr="00445F0B">
        <w:trPr>
          <w:trHeight w:val="567"/>
          <w:jc w:val="center"/>
        </w:trPr>
        <w:tc>
          <w:tcPr>
            <w:tcW w:w="2122" w:type="dxa"/>
            <w:vAlign w:val="center"/>
          </w:tcPr>
          <w:p w:rsidR="00CA4A5E" w:rsidRPr="00EB0E8D" w:rsidRDefault="00CA4A5E" w:rsidP="00930579">
            <w:pPr>
              <w:snapToGrid w:val="0"/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【儿童用药】</w:t>
            </w:r>
          </w:p>
        </w:tc>
        <w:tc>
          <w:tcPr>
            <w:tcW w:w="5386" w:type="dxa"/>
            <w:vAlign w:val="center"/>
          </w:tcPr>
          <w:p w:rsidR="00CA4A5E" w:rsidRPr="00EB0E8D" w:rsidRDefault="00CA4A5E" w:rsidP="00897197">
            <w:pPr>
              <w:snapToGrid w:val="0"/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7371" w:type="dxa"/>
            <w:vAlign w:val="center"/>
          </w:tcPr>
          <w:p w:rsidR="00CA4A5E" w:rsidRPr="00EB0E8D" w:rsidRDefault="00CA4A5E" w:rsidP="00E57232">
            <w:pPr>
              <w:snapToGrid w:val="0"/>
              <w:jc w:val="center"/>
              <w:rPr>
                <w:rFonts w:ascii="仿宋" w:eastAsia="仿宋" w:hAnsi="仿宋"/>
              </w:rPr>
            </w:pPr>
            <w:r w:rsidRPr="00EB0E8D">
              <w:rPr>
                <w:rFonts w:ascii="仿宋" w:eastAsia="仿宋" w:hAnsi="仿宋"/>
              </w:rPr>
              <w:t>本品禁用于18岁以下青少年儿童。</w:t>
            </w:r>
          </w:p>
        </w:tc>
      </w:tr>
    </w:tbl>
    <w:p w:rsidR="003B5E9F" w:rsidRPr="00EB0E8D" w:rsidRDefault="003B5E9F" w:rsidP="00724086">
      <w:pPr>
        <w:jc w:val="left"/>
        <w:rPr>
          <w:rFonts w:ascii="仿宋" w:eastAsia="仿宋" w:hAnsi="仿宋"/>
        </w:rPr>
      </w:pPr>
    </w:p>
    <w:sectPr w:rsidR="003B5E9F" w:rsidRPr="00EB0E8D" w:rsidSect="00445F0B">
      <w:pgSz w:w="16838" w:h="11906" w:orient="landscape"/>
      <w:pgMar w:top="1800" w:right="678" w:bottom="180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1A5286"/>
    <w:rsid w:val="002B3270"/>
    <w:rsid w:val="002C122F"/>
    <w:rsid w:val="00335E9C"/>
    <w:rsid w:val="00367086"/>
    <w:rsid w:val="003B5E9F"/>
    <w:rsid w:val="00445F0B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7A5067"/>
    <w:rsid w:val="00822699"/>
    <w:rsid w:val="00897197"/>
    <w:rsid w:val="00930579"/>
    <w:rsid w:val="009340A5"/>
    <w:rsid w:val="00A04806"/>
    <w:rsid w:val="00B64834"/>
    <w:rsid w:val="00CA4A5E"/>
    <w:rsid w:val="00D34087"/>
    <w:rsid w:val="00D70259"/>
    <w:rsid w:val="00DA0C61"/>
    <w:rsid w:val="00DC7D72"/>
    <w:rsid w:val="00E57232"/>
    <w:rsid w:val="00EB0E8D"/>
    <w:rsid w:val="00F06884"/>
    <w:rsid w:val="00F71C3B"/>
    <w:rsid w:val="00F954C5"/>
    <w:rsid w:val="00FB13C5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11</cp:revision>
  <cp:lastPrinted>2020-03-23T05:04:00Z</cp:lastPrinted>
  <dcterms:created xsi:type="dcterms:W3CDTF">2020-04-09T05:20:00Z</dcterms:created>
  <dcterms:modified xsi:type="dcterms:W3CDTF">2020-06-20T02:33:00Z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