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附件2</w:t>
      </w:r>
    </w:p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bookmarkStart w:id="1" w:name="_GoBack"/>
      <w:r>
        <w:rPr>
          <w:rFonts w:hint="eastAsia" w:ascii="宋体" w:hAnsi="宋体" w:eastAsia="宋体"/>
          <w:b/>
          <w:sz w:val="32"/>
          <w:szCs w:val="32"/>
        </w:rPr>
        <w:t>蜜炖黄精</w:t>
      </w:r>
      <w:bookmarkEnd w:id="1"/>
    </w:p>
    <w:p>
      <w:pPr>
        <w:spacing w:line="440" w:lineRule="exact"/>
        <w:jc w:val="center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midun</w:t>
      </w:r>
      <w:r>
        <w:rPr>
          <w:rFonts w:ascii="Times New Roman" w:hAnsi="Times New Roman" w:eastAsia="宋体" w:cs="Times New Roman"/>
          <w:bCs/>
          <w:szCs w:val="21"/>
        </w:rPr>
        <w:t>Huangjing</w:t>
      </w:r>
    </w:p>
    <w:p>
      <w:pPr>
        <w:spacing w:line="440" w:lineRule="exact"/>
        <w:jc w:val="center"/>
        <w:rPr>
          <w:rFonts w:ascii="Times New Roman" w:hAnsi="Times New Roman" w:eastAsia="宋体" w:cs="Times New Roman"/>
          <w:bCs/>
          <w:sz w:val="30"/>
          <w:szCs w:val="30"/>
        </w:rPr>
      </w:pPr>
      <w:r>
        <w:rPr>
          <w:rFonts w:ascii="Times New Roman" w:hAnsi="Times New Roman" w:eastAsia="宋体" w:cs="Times New Roman"/>
          <w:bCs/>
          <w:sz w:val="30"/>
          <w:szCs w:val="30"/>
        </w:rPr>
        <w:t>POLYGONATI PRAEPARATA</w:t>
      </w:r>
      <w:r>
        <w:rPr>
          <w:rFonts w:hint="eastAsia" w:ascii="Times New Roman" w:hAnsi="Times New Roman" w:eastAsia="宋体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eastAsia="宋体" w:cs="Times New Roman"/>
          <w:bCs/>
          <w:sz w:val="30"/>
          <w:szCs w:val="30"/>
        </w:rPr>
        <w:t xml:space="preserve">RHIZOMA </w:t>
      </w:r>
    </w:p>
    <w:p>
      <w:pPr>
        <w:spacing w:line="44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本品为黄精的炮制</w:t>
      </w:r>
      <w:r>
        <w:rPr>
          <w:rFonts w:ascii="宋体" w:hAnsi="宋体" w:eastAsia="宋体"/>
          <w:color w:val="000000"/>
          <w:sz w:val="24"/>
          <w:szCs w:val="24"/>
        </w:rPr>
        <w:t>加工品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 w:eastAsia="宋体"/>
          <w:iCs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 xml:space="preserve">【炮制】 </w:t>
      </w:r>
      <w:r>
        <w:rPr>
          <w:rFonts w:hint="eastAsia" w:ascii="宋体" w:hAnsi="宋体" w:eastAsia="宋体"/>
          <w:iCs/>
          <w:color w:val="000000"/>
          <w:sz w:val="24"/>
          <w:szCs w:val="24"/>
        </w:rPr>
        <w:t>取净黄精，切厚片，加入定量炼蜜混合</w:t>
      </w:r>
      <w:r>
        <w:rPr>
          <w:rFonts w:ascii="宋体" w:hAnsi="宋体" w:eastAsia="宋体"/>
          <w:iCs/>
          <w:color w:val="000000"/>
          <w:sz w:val="24"/>
          <w:szCs w:val="24"/>
        </w:rPr>
        <w:t>，</w:t>
      </w:r>
      <w:r>
        <w:rPr>
          <w:rFonts w:hint="eastAsia" w:ascii="宋体" w:hAnsi="宋体" w:eastAsia="宋体"/>
          <w:iCs/>
          <w:color w:val="000000"/>
          <w:sz w:val="24"/>
          <w:szCs w:val="24"/>
        </w:rPr>
        <w:t>拌匀，闷润，置炖制容器内，炖制呈棕褐色或黑褐色，灭菌，干燥，即得。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iCs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iCs/>
          <w:color w:val="000000"/>
          <w:sz w:val="24"/>
          <w:szCs w:val="24"/>
        </w:rPr>
        <w:t>每100kg黄精，用炼蜜（中蜜）20kg。</w:t>
      </w:r>
    </w:p>
    <w:p>
      <w:pPr>
        <w:spacing w:line="440" w:lineRule="exact"/>
        <w:ind w:firstLine="480" w:firstLineChars="200"/>
        <w:rPr>
          <w:rFonts w:ascii="宋体" w:hAnsi="宋体" w:eastAsia="宋体"/>
          <w:iCs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 xml:space="preserve">【性状】 </w:t>
      </w:r>
      <w:r>
        <w:rPr>
          <w:rFonts w:hint="eastAsia" w:ascii="宋体" w:hAnsi="宋体" w:eastAsia="宋体"/>
          <w:iCs/>
          <w:color w:val="000000"/>
          <w:sz w:val="24"/>
          <w:szCs w:val="24"/>
        </w:rPr>
        <w:t>本品为不规则厚片。表面棕褐色或黑褐色，可见筋脉小点。质柔软。略有蜜香气，味甜，嚼之有黏性。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【鉴别】</w:t>
      </w:r>
      <w:r>
        <w:rPr>
          <w:rFonts w:ascii="Times New Roman" w:hAnsi="Times New Roman" w:cs="Times New Roman"/>
          <w:color w:val="000000"/>
          <w:sz w:val="24"/>
          <w:szCs w:val="24"/>
        </w:rPr>
        <w:t>（1）</w:t>
      </w:r>
      <w:r>
        <w:rPr>
          <w:rFonts w:ascii="Times New Roman" w:hAnsi="Times New Roman" w:eastAsia="宋体" w:cs="Times New Roman"/>
          <w:iCs/>
          <w:color w:val="000000"/>
          <w:sz w:val="24"/>
          <w:szCs w:val="24"/>
        </w:rPr>
        <w:t>本品</w:t>
      </w:r>
      <w:r>
        <w:rPr>
          <w:rFonts w:ascii="Times New Roman" w:hAnsi="Times New Roman" w:eastAsia="宋体" w:cs="Times New Roman"/>
          <w:sz w:val="24"/>
          <w:szCs w:val="24"/>
        </w:rPr>
        <w:t>粉末棕褐色或黑褐色。表皮细胞呈多角形，外壁较厚。草酸钙针晶束散在或存在于粘液细胞中。导管多为梯纹导管和网纹导管。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（2）</w:t>
      </w:r>
      <w:r>
        <w:rPr>
          <w:rFonts w:ascii="Times New Roman" w:hAnsi="Times New Roman" w:eastAsia="宋体" w:cs="Times New Roman"/>
          <w:sz w:val="24"/>
          <w:szCs w:val="24"/>
        </w:rPr>
        <w:t>取本品粉末lg，加70%乙醇20ml，加热回流1小时，滤</w:t>
      </w:r>
      <w:r>
        <w:rPr>
          <w:rFonts w:hint="eastAsia" w:ascii="Times New Roman" w:hAnsi="Times New Roman" w:eastAsia="宋体" w:cs="Times New Roman"/>
          <w:sz w:val="24"/>
          <w:szCs w:val="24"/>
        </w:rPr>
        <w:t>过</w:t>
      </w:r>
      <w:r>
        <w:rPr>
          <w:rFonts w:ascii="Times New Roman" w:hAnsi="Times New Roman" w:eastAsia="宋体" w:cs="Times New Roman"/>
          <w:sz w:val="24"/>
          <w:szCs w:val="24"/>
        </w:rPr>
        <w:t>，滤液蒸干，残渣加水10ml使溶解，加</w:t>
      </w:r>
      <w:r>
        <w:rPr>
          <w:rFonts w:hint="eastAsia" w:ascii="Times New Roman" w:hAnsi="Times New Roman" w:eastAsia="宋体" w:cs="Times New Roman"/>
          <w:sz w:val="24"/>
          <w:szCs w:val="24"/>
        </w:rPr>
        <w:t>水饱和的</w:t>
      </w:r>
      <w:r>
        <w:rPr>
          <w:rFonts w:ascii="Times New Roman" w:hAnsi="Times New Roman" w:eastAsia="宋体" w:cs="Times New Roman"/>
          <w:sz w:val="24"/>
          <w:szCs w:val="24"/>
        </w:rPr>
        <w:t>正丁醇振摇提取2次，每次20ml，合并正丁醇液，蒸干，残渣加甲醇1ml使溶解，作为供试品溶液。另取黄精对照药材lg，同法制成对照药材溶液。照薄层色谱法（通则0502）试验，吸取上述两种溶液各10μl，分别点于同一硅胶G薄层板上，以石油醚（60～90℃）-乙酸乙酯-甲酸（5:2:0.1）为展开剂，展开，取出，晾干，喷以5%香草醛硫酸溶液，在105℃加热至斑点显色清晰。供试品色谱中，在与对照药材色谱相应的位置上，显相同颜色的斑点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>【检查】 水分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不得过18.0%（通则0832第四法）。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color w:val="000000"/>
          <w:sz w:val="24"/>
          <w:szCs w:val="24"/>
        </w:rPr>
        <w:t>总灰分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取本品，80℃干燥6小时，粉碎后测定，不得过4.0%（通则2302）。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微生物限度</w:t>
      </w:r>
      <w:r>
        <w:rPr>
          <w:rFonts w:ascii="Times New Roman" w:hAnsi="Times New Roman" w:eastAsia="宋体" w:cs="Times New Roman"/>
          <w:sz w:val="24"/>
          <w:szCs w:val="24"/>
        </w:rPr>
        <w:t xml:space="preserve">  照非无菌药品微生物限度检查：微生物计数法（通则1105）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和控制菌检查法（通则1106）及非无菌药品微生物限度标准（通则1107中药提取物及中药饮片的微生物限度标准 直接口服及泡服饮片）检查。应符合规定。 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黑体" w:hAnsi="黑体" w:eastAsia="黑体"/>
          <w:color w:val="000000"/>
          <w:sz w:val="24"/>
          <w:szCs w:val="24"/>
        </w:rPr>
        <w:t xml:space="preserve">【浸出物】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取60℃干燥至恒重的本品粗粉，照醇溶性浸出物测定法（通则2</w:t>
      </w:r>
      <w:r>
        <w:rPr>
          <w:rFonts w:ascii="Times New Roman" w:hAnsi="Times New Roman" w:eastAsia="宋体" w:cs="Times New Roman"/>
          <w:sz w:val="24"/>
          <w:szCs w:val="24"/>
        </w:rPr>
        <w:t>201）项下的热浸法测定，用稀乙醇作溶剂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，不得少于60.0%。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【含量测定】</w: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>对照品溶液的制备</w:t>
      </w:r>
      <w:r>
        <w:rPr>
          <w:rFonts w:ascii="Times New Roman" w:hAnsi="Times New Roman" w:eastAsia="宋体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取经105℃干燥至恒重的无水葡萄糖对照品33mg，精密称定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置100ml量瓶中，加水溶解并稀释至刻度，摇匀，即得（每1ml中含无水葡萄糖0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33mg）。</w:t>
      </w:r>
    </w:p>
    <w:p>
      <w:pPr>
        <w:spacing w:line="440" w:lineRule="exact"/>
        <w:ind w:firstLine="482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标准曲线的制备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精密量取对照品溶液0.1ml、0.2ml、0.3ml、0.4ml、0.5ml、0.6ml，分别置10ml具塞试管中，各加水至2.0ml，摇匀，在冰水浴中缓缓滴加0.2%蔥酮-硫酸溶液至刻度，混匀，放冷后置水浴中保温10分钟，取出，立即置冰水浴中冷却10分钟，取出，以相应试剂为空白。照紫外-可见分光光度法（通则0401），在582nm波长处测定吸光度。以吸光度为纵坐标，浓度为横坐标，绘制标准曲线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测定法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</w:t>
      </w:r>
      <w:bookmarkStart w:id="0" w:name="_Hlk98191730"/>
      <w:r>
        <w:rPr>
          <w:rFonts w:ascii="Times New Roman" w:hAnsi="Times New Roman" w:eastAsia="宋体" w:cs="Times New Roman"/>
          <w:color w:val="000000"/>
          <w:sz w:val="24"/>
          <w:szCs w:val="24"/>
        </w:rPr>
        <w:t>取60℃干燥至恒重的本品粗粉约0.25g，精密称定，置圆底烧瓶中，加80%乙醇150ml，置水浴中加热回流1小时，趁热滤过，残渣用80%热乙醇洗涤3次，每次10ml，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弃去滤液和洗涤液，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将残渣及滤纸置烧瓶中，加水150ml，置沸水浴中加热回流1小时，趁热滤过，残渣及烧瓶用热水洗涤4次，每次10ml，合并滤液与洗液，放冷，转移至250ml量瓶中，加水至刻度，摇匀，精密量取lml，置10ml具塞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干燥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试管中，照标准曲线的制备项下的方法，自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“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加水至2.0ml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”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起，依法测定吸光度，从标准曲线上读出供试品溶液中含无水葡萄糖的重量（mg），计算，即得。</w:t>
      </w:r>
      <w:bookmarkEnd w:id="0"/>
    </w:p>
    <w:p>
      <w:pPr>
        <w:spacing w:line="440" w:lineRule="exact"/>
        <w:ind w:firstLine="482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本品按干燥品计算，含黄精多糖以无水葡萄糖（C</w:t>
      </w:r>
      <w:r>
        <w:rPr>
          <w:rFonts w:ascii="Times New Roman" w:hAnsi="Times New Roman" w:eastAsia="宋体" w:cs="Times New Roman"/>
          <w:color w:val="000000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H</w:t>
      </w:r>
      <w:r>
        <w:rPr>
          <w:rFonts w:ascii="Times New Roman" w:hAnsi="Times New Roman" w:eastAsia="宋体" w:cs="Times New Roman"/>
          <w:color w:val="000000"/>
          <w:sz w:val="24"/>
          <w:szCs w:val="24"/>
          <w:vertAlign w:val="subscript"/>
        </w:rPr>
        <w:t>12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O</w:t>
      </w:r>
      <w:r>
        <w:rPr>
          <w:rFonts w:ascii="Times New Roman" w:hAnsi="Times New Roman" w:eastAsia="宋体" w:cs="Times New Roman"/>
          <w:color w:val="000000"/>
          <w:sz w:val="24"/>
          <w:szCs w:val="24"/>
          <w:vertAlign w:val="subscript"/>
        </w:rPr>
        <w:t>6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）计，不得少于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4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.0%。</w:t>
      </w:r>
    </w:p>
    <w:p>
      <w:pPr>
        <w:spacing w:line="440" w:lineRule="exact"/>
        <w:ind w:firstLine="482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【性味与归经】 </w:t>
      </w:r>
      <w:r>
        <w:rPr>
          <w:rFonts w:ascii="Times New Roman" w:hAnsi="Times New Roman" w:eastAsia="宋体" w:cs="Times New Roman"/>
          <w:sz w:val="24"/>
          <w:szCs w:val="24"/>
        </w:rPr>
        <w:t>甘，平。归脾、肺、肾经。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【功能与主治】</w: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补气养阴，健脾，润肺，益肾。用于脾胃气虚，体倦乏力，胃阴不足，口干食少，肺虚燥咳，劳嗽咳血，精血不足，腰膝酸软，须发早白，内热消渴。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 xml:space="preserve">【炮制作用】 </w:t>
      </w:r>
      <w:r>
        <w:rPr>
          <w:rFonts w:ascii="Times New Roman" w:hAnsi="Times New Roman" w:eastAsia="宋体" w:cs="Times New Roman"/>
          <w:sz w:val="24"/>
          <w:szCs w:val="24"/>
        </w:rPr>
        <w:t>增强润肺止咳平喘之功效。</w:t>
      </w:r>
      <w:r>
        <w:rPr>
          <w:rFonts w:ascii="Times New Roman" w:hAnsi="Times New Roman" w:eastAsia="黑体" w:cs="Times New Roman"/>
          <w:sz w:val="24"/>
          <w:szCs w:val="24"/>
        </w:rPr>
        <w:t xml:space="preserve"> 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【用法与用量】</w: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9～15g；泡服，一次3～5g。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【贮藏】</w:t>
      </w:r>
      <w:r>
        <w:rPr>
          <w:rFonts w:hint="eastAsia" w:ascii="Times New Roman" w:hAnsi="Times New Roman" w:eastAsia="黑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置通风干燥处，防霉，防蛀。</w:t>
      </w:r>
    </w:p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【药材收载标准】</w:t>
      </w:r>
      <w:r>
        <w:rPr>
          <w:rFonts w:ascii="Times New Roman" w:hAnsi="Times New Roman" w:eastAsia="宋体" w:cs="Times New Roman"/>
          <w:sz w:val="24"/>
          <w:szCs w:val="24"/>
        </w:rPr>
        <w:t>《中国药典》2020年版一部。</w:t>
      </w:r>
    </w:p>
    <w:p/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OTFiMjUyM2Q1NjQ0Yjk2YjJjZDczMWI5N2Y4ZDIifQ=="/>
  </w:docVars>
  <w:rsids>
    <w:rsidRoot w:val="00000000"/>
    <w:rsid w:val="775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2023-01-17T04:10:27Z</dcterms:created>
  <dc:creator>Administrator</dc:creator>
  <cp:lastModifiedBy>杨思明</cp:lastModifiedBy>
  <dcterms:modified xsi:type="dcterms:W3CDTF">2023-01-17T04:10:34Z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4E991B8F2F284B9E8390597ABAE69220</vt:lpwstr>
  </property>
</Properties>
</file>